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关于推进臭氧污染防治的工作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方案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（征求意见稿）》</w:t>
      </w:r>
    </w:p>
    <w:p>
      <w:pPr>
        <w:spacing w:after="157" w:afterLines="50"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征求意见汇总表</w:t>
      </w:r>
    </w:p>
    <w:tbl>
      <w:tblPr>
        <w:tblStyle w:val="9"/>
        <w:tblW w:w="149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49"/>
        <w:gridCol w:w="4356"/>
        <w:gridCol w:w="1731"/>
        <w:gridCol w:w="1539"/>
        <w:gridCol w:w="1079"/>
        <w:gridCol w:w="41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</w:rPr>
              <w:t>文件</w:t>
            </w:r>
            <w:r>
              <w:rPr>
                <w:rFonts w:eastAsia="黑体"/>
                <w:spacing w:val="-6"/>
                <w:sz w:val="28"/>
                <w:szCs w:val="32"/>
              </w:rPr>
              <w:t>名称</w:t>
            </w:r>
          </w:p>
        </w:tc>
        <w:tc>
          <w:tcPr>
            <w:tcW w:w="6087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《关于推进臭氧污染防治的工作方案（征求意见稿）》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8"/>
                <w:szCs w:val="32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eastAsia="zh-CN"/>
              </w:rPr>
              <w:t>编制</w:t>
            </w:r>
            <w:r>
              <w:rPr>
                <w:rFonts w:eastAsia="黑体"/>
                <w:spacing w:val="-6"/>
                <w:sz w:val="28"/>
                <w:szCs w:val="32"/>
              </w:rPr>
              <w:t>单位</w:t>
            </w:r>
          </w:p>
        </w:tc>
        <w:tc>
          <w:tcPr>
            <w:tcW w:w="418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32"/>
              </w:rPr>
              <w:t>自治区生态环境厅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</w:rPr>
              <w:t>征求意见范围</w:t>
            </w:r>
          </w:p>
        </w:tc>
        <w:tc>
          <w:tcPr>
            <w:tcW w:w="12892" w:type="dxa"/>
            <w:gridSpan w:val="5"/>
            <w:vAlign w:val="center"/>
          </w:tcPr>
          <w:p>
            <w:pPr>
              <w:spacing w:line="400" w:lineRule="exact"/>
              <w:rPr>
                <w:rFonts w:hint="default" w:eastAsia="仿宋_GB2312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各机关团体、企事业单位和个人。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0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eastAsia="黑体"/>
                <w:spacing w:val="-6"/>
                <w:sz w:val="28"/>
                <w:szCs w:val="32"/>
              </w:rPr>
              <w:t>采纳汇总情况</w:t>
            </w:r>
          </w:p>
        </w:tc>
        <w:tc>
          <w:tcPr>
            <w:tcW w:w="128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共收到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16</w:t>
            </w:r>
            <w:r>
              <w:rPr>
                <w:rFonts w:eastAsia="仿宋_GB2312"/>
                <w:spacing w:val="-6"/>
                <w:sz w:val="28"/>
                <w:szCs w:val="28"/>
              </w:rPr>
              <w:t>条意见建议，其中采纳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spacing w:val="-6"/>
                <w:sz w:val="28"/>
                <w:szCs w:val="28"/>
              </w:rPr>
              <w:t>条，部分采纳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pacing w:val="-6"/>
                <w:sz w:val="28"/>
                <w:szCs w:val="28"/>
              </w:rPr>
              <w:t>条，未采纳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仿宋_GB2312"/>
                <w:spacing w:val="-6"/>
                <w:sz w:val="28"/>
                <w:szCs w:val="28"/>
              </w:rPr>
              <w:t>条，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未采纳意见已与有关单位和人员沟通并达成一致。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eastAsia="黑体"/>
                <w:spacing w:val="-6"/>
                <w:sz w:val="28"/>
                <w:szCs w:val="32"/>
              </w:rPr>
              <w:t>序号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eastAsia="zh-CN"/>
              </w:rPr>
              <w:t>修改意见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eastAsia="黑体"/>
                <w:spacing w:val="-6"/>
                <w:sz w:val="28"/>
                <w:szCs w:val="32"/>
              </w:rPr>
              <w:t>部门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eastAsia="黑体"/>
                <w:spacing w:val="-6"/>
                <w:sz w:val="28"/>
                <w:szCs w:val="32"/>
              </w:rPr>
              <w:t>是否</w:t>
            </w:r>
          </w:p>
          <w:p>
            <w:pPr>
              <w:snapToGrid w:val="0"/>
              <w:spacing w:line="34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eastAsia="黑体"/>
                <w:spacing w:val="-6"/>
                <w:sz w:val="28"/>
                <w:szCs w:val="32"/>
              </w:rPr>
              <w:t>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eastAsia="黑体"/>
                <w:spacing w:val="-6"/>
                <w:sz w:val="28"/>
                <w:szCs w:val="32"/>
              </w:rPr>
              <w:t>采纳修改情况或未采纳理由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eastAsia="黑体"/>
                <w:spacing w:val="-6"/>
                <w:sz w:val="28"/>
                <w:szCs w:val="32"/>
              </w:rPr>
              <w:t>1.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（二）加强VOCs污染综合整治。5.加强油品VOCs综合管控。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”中的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责任单位删除工业和信息化部门</w:t>
            </w:r>
            <w:r>
              <w:rPr>
                <w:rFonts w:eastAsia="仿宋_GB2312"/>
                <w:spacing w:val="-6"/>
                <w:sz w:val="28"/>
                <w:szCs w:val="28"/>
                <w:lang w:val="en"/>
              </w:rPr>
              <w:t>。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理由：根据“三定”方案，工业和信息化部门没有涉油品管理相关职责</w:t>
            </w:r>
            <w:r>
              <w:rPr>
                <w:rFonts w:eastAsia="仿宋_GB2312"/>
                <w:spacing w:val="-6"/>
                <w:sz w:val="28"/>
                <w:szCs w:val="28"/>
                <w:lang w:val="en"/>
              </w:rPr>
              <w:t>，其管理职责在发展改革部门。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工业和信息化厅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责任单位：生态环境、公安、税务、商务、交通、市场监管部门按职责分工负责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黑体"/>
                <w:spacing w:val="-6"/>
                <w:sz w:val="28"/>
                <w:szCs w:val="32"/>
              </w:rPr>
            </w:pPr>
            <w:r>
              <w:rPr>
                <w:rFonts w:eastAsia="黑体"/>
                <w:spacing w:val="-6"/>
                <w:sz w:val="28"/>
                <w:szCs w:val="32"/>
              </w:rPr>
              <w:t>2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（四）推进污染源监管能力提升。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严厉打击违法行为。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”中的责任单位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删除工业和信息化部门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。理由：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工业和信息化部门没有相应执法权限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工业和信息化厅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吴忠市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责任单位：市场监管、生态环境、公安、海关部门按职责分工负责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三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）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推进含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VOCs原辅材料源头替代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推进低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VOCs含量原辅材料替代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的“深入排查溶剂型涂料、油墨、胶粘剂、清洗剂等原辅材料使用企业，摸清涉VOCs产品类型、涉VOCs原辅材料使用比例和使用量，建立管理台账，制定低VOCs含量原辅材料替代计划。工业涂装、家具制造、包装印刷、房屋建筑和市政工程等行业领域低VOCs含量原辅材料替代比例达到国家和自治区相关要求。（责任单位：工业和信息化、生态环境、市场监管、住房城乡建设部门）”修改为“推进低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VOCs含量原辅材料生产和使用。对溶剂型涂料、油墨、胶黏剂、清洗剂等原辅材料生产企业进行摸底，摸清涉VOCs产品类型、涉VOCs原辅材料使用比例和使用量，推动低VOCs含量原辅材料的推广使用。在工业涂装、家具制造、包装印刷、房屋建筑和市政工程等使用领域中，低VOCs含量原辅材料应符合国家和自治区相关标准。（责任单位：生态环境、市场监管、工业和信息化、住房城乡建设部门按职责分工负责）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工业和信息化厅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部分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采纳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仿宋_GB2312" w:cs="Times New Roman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推进低VOCs含量原辅材料替代。深入排查溶剂型涂料、油墨、胶粘剂、清洗剂等原辅材料使用企业，摸清涉VOCs产品类型、涉VOCs原辅材料使用比例和使用量，制定低VOCs含量原辅材料替代计划。工业涂装、家具制造、包装印刷、房屋建筑和市政工程等行业领域低VOCs含量原辅材料替代比例达到国家和自治区相关要求。（责任单位：生态环境、工业和信息化、市场监管、住房城乡建设部门）</w:t>
            </w:r>
          </w:p>
          <w:p>
            <w:pPr>
              <w:snapToGrid w:val="0"/>
              <w:spacing w:line="340" w:lineRule="exact"/>
              <w:rPr>
                <w:rFonts w:hint="eastAsia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三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）加快推进含VOCs原辅材料源头替代。2.开展含VOCs原辅材料达标情况联合检查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。”中的“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每半年对相关产品生产、销售、使用环节VOCs含量限值执行情况至少开展一次监督检查”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修改为“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每年对相关产品生产、销售、使用环节VOCs含量限值执行情况至少开展一次监督检查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市场监管厅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每年对相关产品生产、销售、使用环节VOCs含量限值执行情况至少开展一次监督检查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（二）加强VOCs污染综合整治。5.加强油品VOCs综合管控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。”中的责任单位删除市场监管部门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理由：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该项明确的“储油库、油罐车、加油站等储运销环节油气回收系统专项检查”和“对加油站、油罐车密封性能定期检测”等工作任务与市场监管部门职责无关联。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市场监管厅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未采纳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default" w:eastAsia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eastAsia="仿宋_GB2312"/>
                <w:color w:val="auto"/>
                <w:sz w:val="28"/>
                <w:szCs w:val="28"/>
              </w:rPr>
              <w:t>.建立常态化油品监督检查机制，公安、税务、市场监管、交通、商务等部门每年组织开展非标油专项联合执法行动，持续集中打击和清理取缔黑加油站、流动加油车，对使用非标油品的运输企业和施工单位进行严厉处罚。</w:t>
            </w:r>
          </w:p>
          <w:p>
            <w:pPr>
              <w:snapToGrid w:val="0"/>
              <w:spacing w:line="340" w:lineRule="exact"/>
              <w:rPr>
                <w:rFonts w:hint="eastAsia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eastAsia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责任单位：生态环境、公安、税务、商务、交通、市场监管部门按职责分工负责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（五）加快构建臭氧污染精准防控体系。3.合理开展夏季臭氧污染区域联防联控。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”中的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“落实银川都市圈区域联防联控机制，深化全区大气污染联防联控机制建设。”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修改为“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深化全区大气污染联防联控机制建设，落实银川都市圈区域联防联控机制。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</w:rPr>
              <w:t>固原市</w:t>
            </w: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部分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深化全区大气污染联防联控机制建设，落实区域联防联控机制。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建议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在</w:t>
            </w:r>
            <w:r>
              <w:rPr>
                <w:rFonts w:eastAsia="仿宋_GB2312"/>
                <w:spacing w:val="-6"/>
                <w:sz w:val="28"/>
                <w:szCs w:val="28"/>
              </w:rPr>
              <w:t>重点任务中加入汽车尾气治理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的相关内容</w:t>
            </w:r>
            <w:r>
              <w:rPr>
                <w:rFonts w:eastAsia="仿宋_GB2312"/>
                <w:spacing w:val="-6"/>
                <w:sz w:val="28"/>
                <w:szCs w:val="28"/>
              </w:rPr>
              <w:t>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</w:rPr>
              <w:t>固原市</w:t>
            </w: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人民政府</w:t>
            </w: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</w:rPr>
              <w:t>。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color w:val="000000" w:themeColor="text1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柴油货车污染治理工作方案中对汽车尾气治理有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详细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明确任务措施要求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，为避免重复，故不添加相关内容。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三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）加快推进含VOCs原辅材料源头替代。</w:t>
            </w:r>
            <w:r>
              <w:rPr>
                <w:rFonts w:hint="eastAsia" w:eastAsia="仿宋_GB2312"/>
                <w:sz w:val="28"/>
                <w:szCs w:val="28"/>
              </w:rPr>
              <w:t>1.推进低VOCs含量原辅材料替代。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”中的</w:t>
            </w:r>
            <w:r>
              <w:rPr>
                <w:rFonts w:hint="eastAsia" w:eastAsia="仿宋_GB2312"/>
                <w:sz w:val="28"/>
                <w:szCs w:val="28"/>
              </w:rPr>
              <w:t>责任单位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调整顺序，</w:t>
            </w:r>
            <w:r>
              <w:rPr>
                <w:rFonts w:hint="eastAsia" w:eastAsia="仿宋_GB2312"/>
                <w:sz w:val="28"/>
                <w:szCs w:val="28"/>
              </w:rPr>
              <w:t>将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工业和信息化</w:t>
            </w:r>
            <w:r>
              <w:rPr>
                <w:rFonts w:hint="eastAsia" w:eastAsia="仿宋_GB2312"/>
                <w:sz w:val="28"/>
                <w:szCs w:val="28"/>
              </w:rPr>
              <w:t>部门放置第一责任部门。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石嘴山市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未采纳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国家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eastAsia="仿宋_GB2312"/>
                <w:sz w:val="28"/>
                <w:szCs w:val="28"/>
              </w:rPr>
              <w:t>臭氧污染防治攻坚行动方案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eastAsia="仿宋_GB2312"/>
                <w:sz w:val="28"/>
                <w:szCs w:val="28"/>
              </w:rPr>
              <w:t>中责任单位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顺序生态环境部门为第一责任部门</w:t>
            </w:r>
            <w:r>
              <w:rPr>
                <w:rFonts w:hint="eastAsia" w:eastAsia="仿宋_GB2312"/>
                <w:sz w:val="28"/>
                <w:szCs w:val="28"/>
              </w:rPr>
              <w:t>，因此本《方案》仍保持一致。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三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）加快推进含VOCs原辅材料源头替代。2.开展含VOCs原辅材料达标情况联合检查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。”责任单位中增加工业和信息化部门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石嘴山市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未采纳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国家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eastAsia="仿宋_GB2312"/>
                <w:sz w:val="28"/>
                <w:szCs w:val="28"/>
              </w:rPr>
              <w:t>臭氧污染防治攻坚行动方案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eastAsia="仿宋_GB2312"/>
                <w:sz w:val="28"/>
                <w:szCs w:val="28"/>
              </w:rPr>
              <w:t>中相应任务的责任单位中没有工业和信息化部门，因此本《方案》仍保持一致。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黑体"/>
                <w:spacing w:val="-6"/>
                <w:sz w:val="28"/>
                <w:szCs w:val="32"/>
                <w:lang w:val="en-US"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（二）加强VOCs污染综合整治。5.加强油品VOCs综合管控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。”中的</w:t>
            </w:r>
            <w:r>
              <w:rPr>
                <w:rFonts w:hint="eastAsia" w:eastAsia="仿宋_GB2312"/>
                <w:sz w:val="28"/>
                <w:szCs w:val="28"/>
              </w:rPr>
              <w:t>责任单位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调整顺序，</w:t>
            </w:r>
            <w:r>
              <w:rPr>
                <w:rFonts w:hint="eastAsia" w:eastAsia="仿宋_GB2312"/>
                <w:sz w:val="28"/>
                <w:szCs w:val="28"/>
              </w:rPr>
              <w:t>将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商务</w:t>
            </w:r>
            <w:r>
              <w:rPr>
                <w:rFonts w:hint="eastAsia" w:eastAsia="仿宋_GB2312"/>
                <w:sz w:val="28"/>
                <w:szCs w:val="28"/>
              </w:rPr>
              <w:t>部门放置第一责任部门。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石嘴山市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28"/>
                <w:szCs w:val="28"/>
              </w:rPr>
              <w:t>国家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eastAsia="仿宋_GB2312"/>
                <w:sz w:val="28"/>
                <w:szCs w:val="28"/>
              </w:rPr>
              <w:t>臭氧污染防治攻坚行动方案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eastAsia="仿宋_GB2312"/>
                <w:sz w:val="28"/>
                <w:szCs w:val="28"/>
              </w:rPr>
              <w:t>中责任单位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为生态环境部门牵头</w:t>
            </w:r>
            <w:r>
              <w:rPr>
                <w:rFonts w:hint="eastAsia" w:eastAsia="仿宋_GB2312"/>
                <w:sz w:val="28"/>
                <w:szCs w:val="28"/>
              </w:rPr>
              <w:t>，因此本《方案》仍保持一致。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</w:rPr>
              <w:t>1</w:t>
            </w: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default" w:eastAsia="仿宋_GB2312"/>
                <w:sz w:val="28"/>
                <w:szCs w:val="28"/>
              </w:rPr>
              <w:t>（四）推进污染源监管能力提升。1.加强污染源监测监控。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中的“</w:t>
            </w:r>
            <w:r>
              <w:rPr>
                <w:rFonts w:hint="default" w:eastAsia="仿宋_GB2312"/>
                <w:sz w:val="28"/>
                <w:szCs w:val="28"/>
              </w:rPr>
              <w:t>加强无组织排放状况监控，将厂区内VOCs无组织排放监测纳入排污许可证和自行监测管理。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eastAsia="仿宋_GB2312"/>
                <w:sz w:val="28"/>
                <w:szCs w:val="28"/>
              </w:rPr>
              <w:t>删除厂区无组织监测纳入排污许可内容。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石嘴山市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sz w:val="28"/>
                <w:szCs w:val="28"/>
              </w:rPr>
              <w:t>加强无组织排放状况监控，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依法依规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将厂区内VOCs无组织排放监测纳入排污许可证和自行监测管理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</w:rPr>
              <w:t>1</w:t>
            </w: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（四）推进污染源监管能力提升。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严厉打击违法行为。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”中的</w:t>
            </w:r>
            <w:r>
              <w:rPr>
                <w:rFonts w:hint="eastAsia" w:eastAsia="仿宋_GB2312"/>
                <w:sz w:val="28"/>
                <w:szCs w:val="28"/>
              </w:rPr>
              <w:t>责任单位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调整顺序，</w:t>
            </w:r>
            <w:r>
              <w:rPr>
                <w:rFonts w:hint="eastAsia" w:eastAsia="仿宋_GB2312"/>
                <w:sz w:val="28"/>
                <w:szCs w:val="28"/>
              </w:rPr>
              <w:t>将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市场监管</w:t>
            </w:r>
            <w:r>
              <w:rPr>
                <w:rFonts w:hint="eastAsia" w:eastAsia="仿宋_GB2312"/>
                <w:sz w:val="28"/>
                <w:szCs w:val="28"/>
              </w:rPr>
              <w:t>部门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作为牵头责任</w:t>
            </w:r>
            <w:r>
              <w:rPr>
                <w:rFonts w:hint="eastAsia" w:eastAsia="仿宋_GB2312"/>
                <w:sz w:val="28"/>
                <w:szCs w:val="28"/>
              </w:rPr>
              <w:t>部门。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石嘴山市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未采纳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责任单位中相关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按照职责分工负责。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黑体"/>
                <w:spacing w:val="-6"/>
                <w:sz w:val="28"/>
                <w:szCs w:val="32"/>
                <w:lang w:val="en-US"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pacing w:line="400" w:lineRule="exact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一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）推进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NOx污染深度治理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持续推进重点行业超低排放改造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”中的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“现有不达标燃气锅炉完成低氮燃烧改造。”修改为“现有燃气锅炉完成低氮燃烧改造。”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石嘴山市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未采纳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已达标燃气锅炉无需再进行低氮燃烧改造。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黑体"/>
                <w:spacing w:val="-6"/>
                <w:sz w:val="28"/>
                <w:szCs w:val="32"/>
                <w:lang w:val="en-US"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pacing w:line="400" w:lineRule="exact"/>
              <w:rPr>
                <w:rFonts w:hint="default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五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）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推进臭氧污染精准防控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强化科技及基础能力支撑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”中的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责任单位增加工业和信息化部门，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石嘴山市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牵头单位：科技、生态环境部门，参加单位：工业和信息化、气象部门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黑体"/>
                <w:spacing w:val="-6"/>
                <w:sz w:val="28"/>
                <w:szCs w:val="32"/>
                <w:lang w:val="en-US"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建议将《工作方案》中“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（二）加强VOCs污染综合整治。5.加强油品VOCs综合管控。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”中的责任单位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删除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商务部门</w:t>
            </w:r>
            <w:r>
              <w:rPr>
                <w:rFonts w:eastAsia="仿宋_GB2312"/>
                <w:spacing w:val="-6"/>
                <w:sz w:val="28"/>
                <w:szCs w:val="28"/>
                <w:lang w:val="en"/>
              </w:rPr>
              <w:t>。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" w:eastAsia="zh-CN"/>
              </w:rPr>
              <w:t>理由：商务部门仅负责加油站零售加油许可，对加油站运营过程中涉及环保方面的工作不具备监管职责权限。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商务厅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未采纳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成品油专项整治由商务部门牵头负责，加强油品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VOCs综合管控需商务部门配合开展相关工作。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黑体"/>
                <w:spacing w:val="-6"/>
                <w:sz w:val="28"/>
                <w:szCs w:val="32"/>
                <w:lang w:val="en-US" w:eastAsia="zh-CN"/>
              </w:rPr>
            </w:pPr>
            <w:r>
              <w:rPr>
                <w:rFonts w:hint="eastAsia" w:eastAsia="黑体"/>
                <w:spacing w:val="-6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pacing w:line="400" w:lineRule="exact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建议将方案中“（三）</w:t>
            </w:r>
            <w:r>
              <w:rPr>
                <w:rFonts w:hint="eastAsia" w:eastAsia="仿宋_GB2312"/>
                <w:spacing w:val="-6"/>
                <w:sz w:val="28"/>
                <w:szCs w:val="28"/>
              </w:rPr>
              <w:t>推进含VOCs原辅材料源头替代</w:t>
            </w: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”中责任单位中的住房城乡建设部门全部删除。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住房和城乡建设厅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未采纳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内容中涉及房屋建筑和市政工程等行业领域低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VOCs含量原辅材料替代工作，需住房城乡建设部门协调配合，且</w:t>
            </w:r>
            <w:r>
              <w:rPr>
                <w:rFonts w:hint="eastAsia" w:eastAsia="仿宋_GB2312"/>
                <w:sz w:val="28"/>
                <w:szCs w:val="28"/>
              </w:rPr>
              <w:t>国家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eastAsia="仿宋_GB2312"/>
                <w:sz w:val="28"/>
                <w:szCs w:val="28"/>
              </w:rPr>
              <w:t>臭氧污染防治攻坚行动方案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eastAsia="仿宋_GB2312"/>
                <w:sz w:val="28"/>
                <w:szCs w:val="28"/>
              </w:rPr>
              <w:t>中责任单位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有住房和城乡建设部职责</w:t>
            </w:r>
            <w:r>
              <w:rPr>
                <w:rFonts w:hint="eastAsia" w:eastAsia="仿宋_GB2312"/>
                <w:sz w:val="28"/>
                <w:szCs w:val="28"/>
              </w:rPr>
              <w:t>，因此本《方案》仍保持一致。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eastAsia="仿宋_GB2312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05" w:type="dxa"/>
            <w:gridSpan w:val="2"/>
            <w:vAlign w:val="center"/>
          </w:tcPr>
          <w:p>
            <w:pPr>
              <w:snapToGrid w:val="0"/>
              <w:spacing w:line="420" w:lineRule="exact"/>
              <w:jc w:val="both"/>
              <w:rPr>
                <w:rFonts w:hint="default" w:eastAsia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银川市人民政府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中卫</w:t>
            </w:r>
            <w:r>
              <w:rPr>
                <w:rFonts w:eastAsia="仿宋_GB2312"/>
                <w:color w:val="auto"/>
                <w:spacing w:val="-6"/>
                <w:sz w:val="28"/>
                <w:szCs w:val="28"/>
              </w:rPr>
              <w:t>市人民政府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宁东</w:t>
            </w:r>
            <w:r>
              <w:rPr>
                <w:rFonts w:eastAsia="仿宋_GB2312"/>
                <w:color w:val="auto"/>
                <w:spacing w:val="-6"/>
                <w:sz w:val="28"/>
                <w:szCs w:val="28"/>
              </w:rPr>
              <w:t>基地管委会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发展改革委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交通运输厅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公安厅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应急管理厅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科技厅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银川海关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气象局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lang w:val="en-US" w:eastAsia="zh-CN"/>
              </w:rPr>
              <w:t>10家单位。</w:t>
            </w:r>
          </w:p>
        </w:tc>
        <w:tc>
          <w:tcPr>
            <w:tcW w:w="8536" w:type="dxa"/>
            <w:gridSpan w:val="4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仿宋_GB2312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</w:rPr>
              <w:t>无意见</w:t>
            </w:r>
          </w:p>
        </w:tc>
      </w:tr>
    </w:tbl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1701" w:bottom="1474" w:left="170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HorizontalSpacing w:val="105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5ZGE5Mjk1YTFiZjQxNTM4OTI5YzBiYzhkNTViYTcifQ=="/>
  </w:docVars>
  <w:rsids>
    <w:rsidRoot w:val="00B5486A"/>
    <w:rsid w:val="00000FF1"/>
    <w:rsid w:val="000068CF"/>
    <w:rsid w:val="000726D4"/>
    <w:rsid w:val="00082EE1"/>
    <w:rsid w:val="00086F6D"/>
    <w:rsid w:val="00093F5E"/>
    <w:rsid w:val="000A7198"/>
    <w:rsid w:val="000A71D1"/>
    <w:rsid w:val="000C549A"/>
    <w:rsid w:val="00103E4D"/>
    <w:rsid w:val="001232CF"/>
    <w:rsid w:val="00124256"/>
    <w:rsid w:val="001354EA"/>
    <w:rsid w:val="00150531"/>
    <w:rsid w:val="001678AC"/>
    <w:rsid w:val="00192722"/>
    <w:rsid w:val="001B376D"/>
    <w:rsid w:val="001C4F44"/>
    <w:rsid w:val="00223365"/>
    <w:rsid w:val="00227DEF"/>
    <w:rsid w:val="002302DF"/>
    <w:rsid w:val="00236DA6"/>
    <w:rsid w:val="00265403"/>
    <w:rsid w:val="002C4D0F"/>
    <w:rsid w:val="002D19FE"/>
    <w:rsid w:val="00331952"/>
    <w:rsid w:val="00337BCD"/>
    <w:rsid w:val="00354E7D"/>
    <w:rsid w:val="00376009"/>
    <w:rsid w:val="003773F0"/>
    <w:rsid w:val="0038350E"/>
    <w:rsid w:val="003A79A8"/>
    <w:rsid w:val="003B45D4"/>
    <w:rsid w:val="003E023B"/>
    <w:rsid w:val="003E3637"/>
    <w:rsid w:val="0042796B"/>
    <w:rsid w:val="00431C50"/>
    <w:rsid w:val="004722D3"/>
    <w:rsid w:val="0047702C"/>
    <w:rsid w:val="004B0B17"/>
    <w:rsid w:val="004B1E61"/>
    <w:rsid w:val="004C174D"/>
    <w:rsid w:val="004C4440"/>
    <w:rsid w:val="00525078"/>
    <w:rsid w:val="00526458"/>
    <w:rsid w:val="00530A6B"/>
    <w:rsid w:val="005460BF"/>
    <w:rsid w:val="005657EC"/>
    <w:rsid w:val="00590F79"/>
    <w:rsid w:val="00592F0B"/>
    <w:rsid w:val="005C4E1F"/>
    <w:rsid w:val="005D7B79"/>
    <w:rsid w:val="005F7175"/>
    <w:rsid w:val="005F7557"/>
    <w:rsid w:val="00601234"/>
    <w:rsid w:val="00604FF5"/>
    <w:rsid w:val="00622C5F"/>
    <w:rsid w:val="00632C59"/>
    <w:rsid w:val="006521B1"/>
    <w:rsid w:val="00657986"/>
    <w:rsid w:val="00667FC1"/>
    <w:rsid w:val="00673FE4"/>
    <w:rsid w:val="006A4442"/>
    <w:rsid w:val="006B0067"/>
    <w:rsid w:val="006C718F"/>
    <w:rsid w:val="006D7D00"/>
    <w:rsid w:val="006E1578"/>
    <w:rsid w:val="006E1AB3"/>
    <w:rsid w:val="006E6F52"/>
    <w:rsid w:val="00703448"/>
    <w:rsid w:val="0075099B"/>
    <w:rsid w:val="007A42C5"/>
    <w:rsid w:val="007C3F84"/>
    <w:rsid w:val="007C6D00"/>
    <w:rsid w:val="0080603D"/>
    <w:rsid w:val="008210BA"/>
    <w:rsid w:val="00827704"/>
    <w:rsid w:val="008729A6"/>
    <w:rsid w:val="00875391"/>
    <w:rsid w:val="00890A48"/>
    <w:rsid w:val="00891150"/>
    <w:rsid w:val="008A417A"/>
    <w:rsid w:val="008B2333"/>
    <w:rsid w:val="008D6697"/>
    <w:rsid w:val="008E58D3"/>
    <w:rsid w:val="008F65BC"/>
    <w:rsid w:val="00954D1D"/>
    <w:rsid w:val="00956D54"/>
    <w:rsid w:val="009700B0"/>
    <w:rsid w:val="00973D8D"/>
    <w:rsid w:val="00987AD3"/>
    <w:rsid w:val="00995360"/>
    <w:rsid w:val="009D7D52"/>
    <w:rsid w:val="009E615B"/>
    <w:rsid w:val="009F0410"/>
    <w:rsid w:val="009F52EB"/>
    <w:rsid w:val="00A05889"/>
    <w:rsid w:val="00A06F61"/>
    <w:rsid w:val="00A07961"/>
    <w:rsid w:val="00A07D92"/>
    <w:rsid w:val="00A21DEB"/>
    <w:rsid w:val="00A40DF3"/>
    <w:rsid w:val="00A52386"/>
    <w:rsid w:val="00A57379"/>
    <w:rsid w:val="00A6305D"/>
    <w:rsid w:val="00AA7DAC"/>
    <w:rsid w:val="00AD001F"/>
    <w:rsid w:val="00AF56CB"/>
    <w:rsid w:val="00B22111"/>
    <w:rsid w:val="00B361E4"/>
    <w:rsid w:val="00B5486A"/>
    <w:rsid w:val="00B61FBC"/>
    <w:rsid w:val="00B63079"/>
    <w:rsid w:val="00B73AB4"/>
    <w:rsid w:val="00B77454"/>
    <w:rsid w:val="00B840E3"/>
    <w:rsid w:val="00B87D8A"/>
    <w:rsid w:val="00B97F73"/>
    <w:rsid w:val="00BB42E3"/>
    <w:rsid w:val="00BE0C39"/>
    <w:rsid w:val="00BF163F"/>
    <w:rsid w:val="00C20A83"/>
    <w:rsid w:val="00C2255B"/>
    <w:rsid w:val="00C35927"/>
    <w:rsid w:val="00C61103"/>
    <w:rsid w:val="00C87423"/>
    <w:rsid w:val="00CB01BB"/>
    <w:rsid w:val="00D10203"/>
    <w:rsid w:val="00D45925"/>
    <w:rsid w:val="00D82A92"/>
    <w:rsid w:val="00D92E54"/>
    <w:rsid w:val="00DC48CE"/>
    <w:rsid w:val="00DE17D9"/>
    <w:rsid w:val="00E15228"/>
    <w:rsid w:val="00E34280"/>
    <w:rsid w:val="00E36B54"/>
    <w:rsid w:val="00E846B3"/>
    <w:rsid w:val="00E9151C"/>
    <w:rsid w:val="00E97180"/>
    <w:rsid w:val="00EA1913"/>
    <w:rsid w:val="00EB2146"/>
    <w:rsid w:val="00EB5116"/>
    <w:rsid w:val="00ED21AA"/>
    <w:rsid w:val="00ED4333"/>
    <w:rsid w:val="00EE7BD3"/>
    <w:rsid w:val="00F701D1"/>
    <w:rsid w:val="00FA41A1"/>
    <w:rsid w:val="00FA6C1B"/>
    <w:rsid w:val="00FB4C91"/>
    <w:rsid w:val="00FC57A2"/>
    <w:rsid w:val="00FD1E9D"/>
    <w:rsid w:val="00FD4B45"/>
    <w:rsid w:val="00FD574F"/>
    <w:rsid w:val="01347A59"/>
    <w:rsid w:val="01C14FE3"/>
    <w:rsid w:val="020471A6"/>
    <w:rsid w:val="020E2058"/>
    <w:rsid w:val="0288005D"/>
    <w:rsid w:val="02F0530D"/>
    <w:rsid w:val="03AF6F21"/>
    <w:rsid w:val="04920D73"/>
    <w:rsid w:val="04A809B3"/>
    <w:rsid w:val="04DB2E9B"/>
    <w:rsid w:val="068974F5"/>
    <w:rsid w:val="0731197B"/>
    <w:rsid w:val="079170D6"/>
    <w:rsid w:val="09D0206C"/>
    <w:rsid w:val="0A9231B5"/>
    <w:rsid w:val="0BC87E7C"/>
    <w:rsid w:val="0D5311FB"/>
    <w:rsid w:val="0D5D42E6"/>
    <w:rsid w:val="0DFC6CA2"/>
    <w:rsid w:val="0E821FED"/>
    <w:rsid w:val="0F8F4AE0"/>
    <w:rsid w:val="0FFF49A0"/>
    <w:rsid w:val="10A21675"/>
    <w:rsid w:val="12144E5B"/>
    <w:rsid w:val="129C6D40"/>
    <w:rsid w:val="135E44C2"/>
    <w:rsid w:val="13FC61B5"/>
    <w:rsid w:val="146534B7"/>
    <w:rsid w:val="14B702F1"/>
    <w:rsid w:val="14EF1707"/>
    <w:rsid w:val="150A4D1B"/>
    <w:rsid w:val="1568127A"/>
    <w:rsid w:val="15E96C0C"/>
    <w:rsid w:val="17CD0C3B"/>
    <w:rsid w:val="19707F5D"/>
    <w:rsid w:val="1A6A07F6"/>
    <w:rsid w:val="1C3D5EDA"/>
    <w:rsid w:val="1EC75469"/>
    <w:rsid w:val="1EE96CD1"/>
    <w:rsid w:val="1EFC481C"/>
    <w:rsid w:val="1FFFE7F0"/>
    <w:rsid w:val="20E34258"/>
    <w:rsid w:val="21AB2CE6"/>
    <w:rsid w:val="220C5A8F"/>
    <w:rsid w:val="23607DE2"/>
    <w:rsid w:val="23F22B27"/>
    <w:rsid w:val="247578BD"/>
    <w:rsid w:val="25280B87"/>
    <w:rsid w:val="254951A4"/>
    <w:rsid w:val="25963936"/>
    <w:rsid w:val="275E5719"/>
    <w:rsid w:val="277D5305"/>
    <w:rsid w:val="27BD6B27"/>
    <w:rsid w:val="284A4D89"/>
    <w:rsid w:val="28555FF5"/>
    <w:rsid w:val="287E6F81"/>
    <w:rsid w:val="28FE4388"/>
    <w:rsid w:val="2A9035BF"/>
    <w:rsid w:val="2C72345E"/>
    <w:rsid w:val="2E241886"/>
    <w:rsid w:val="2FD45BAA"/>
    <w:rsid w:val="30CE6868"/>
    <w:rsid w:val="33117240"/>
    <w:rsid w:val="338152EA"/>
    <w:rsid w:val="35F40F8A"/>
    <w:rsid w:val="364D3C47"/>
    <w:rsid w:val="364E4545"/>
    <w:rsid w:val="37FC376D"/>
    <w:rsid w:val="38BE215B"/>
    <w:rsid w:val="39574310"/>
    <w:rsid w:val="3A692F95"/>
    <w:rsid w:val="3AE231BB"/>
    <w:rsid w:val="3B574C33"/>
    <w:rsid w:val="3CB05A3E"/>
    <w:rsid w:val="3D4F5207"/>
    <w:rsid w:val="3DFB29B9"/>
    <w:rsid w:val="3E5D25A0"/>
    <w:rsid w:val="3F073ADC"/>
    <w:rsid w:val="3F0F5FE6"/>
    <w:rsid w:val="3FD951D1"/>
    <w:rsid w:val="40CC7BBE"/>
    <w:rsid w:val="40FE400D"/>
    <w:rsid w:val="438043A8"/>
    <w:rsid w:val="448B30A9"/>
    <w:rsid w:val="45712445"/>
    <w:rsid w:val="4644372F"/>
    <w:rsid w:val="476E08C4"/>
    <w:rsid w:val="49060393"/>
    <w:rsid w:val="49AC7518"/>
    <w:rsid w:val="49C30F9C"/>
    <w:rsid w:val="4A427EE8"/>
    <w:rsid w:val="4BC879CC"/>
    <w:rsid w:val="4C94038A"/>
    <w:rsid w:val="4CD34FFD"/>
    <w:rsid w:val="4DE5799B"/>
    <w:rsid w:val="4F0B69B3"/>
    <w:rsid w:val="4F201784"/>
    <w:rsid w:val="4F7A20A8"/>
    <w:rsid w:val="52232583"/>
    <w:rsid w:val="53065F86"/>
    <w:rsid w:val="55A636CA"/>
    <w:rsid w:val="55FA68D6"/>
    <w:rsid w:val="564832C4"/>
    <w:rsid w:val="565A5AFA"/>
    <w:rsid w:val="57435BF8"/>
    <w:rsid w:val="575A4441"/>
    <w:rsid w:val="57CB52A4"/>
    <w:rsid w:val="57DF2AB8"/>
    <w:rsid w:val="57E914A6"/>
    <w:rsid w:val="59FB27BC"/>
    <w:rsid w:val="5A715E56"/>
    <w:rsid w:val="5B9364DF"/>
    <w:rsid w:val="5DAD36A2"/>
    <w:rsid w:val="5DC32DFC"/>
    <w:rsid w:val="5F5D4BB3"/>
    <w:rsid w:val="5FF4C154"/>
    <w:rsid w:val="601608B5"/>
    <w:rsid w:val="607305F1"/>
    <w:rsid w:val="60FD48E7"/>
    <w:rsid w:val="611E298E"/>
    <w:rsid w:val="62052333"/>
    <w:rsid w:val="64A6511C"/>
    <w:rsid w:val="6585249B"/>
    <w:rsid w:val="65A22F03"/>
    <w:rsid w:val="670C13E0"/>
    <w:rsid w:val="67BFB848"/>
    <w:rsid w:val="67CF3B6C"/>
    <w:rsid w:val="6847428C"/>
    <w:rsid w:val="69240094"/>
    <w:rsid w:val="6A31576E"/>
    <w:rsid w:val="6ACF2E50"/>
    <w:rsid w:val="6B065463"/>
    <w:rsid w:val="6B6C0E24"/>
    <w:rsid w:val="6BD71246"/>
    <w:rsid w:val="6BF5045D"/>
    <w:rsid w:val="6D9B9C57"/>
    <w:rsid w:val="6EA748DE"/>
    <w:rsid w:val="6ED67B03"/>
    <w:rsid w:val="6EDD7D17"/>
    <w:rsid w:val="6F2E20B7"/>
    <w:rsid w:val="6F4F27B2"/>
    <w:rsid w:val="6FBFE03C"/>
    <w:rsid w:val="6FCE051E"/>
    <w:rsid w:val="6FEF5BF6"/>
    <w:rsid w:val="7047382A"/>
    <w:rsid w:val="71272EDB"/>
    <w:rsid w:val="71B44DE9"/>
    <w:rsid w:val="71C87614"/>
    <w:rsid w:val="72F60F1E"/>
    <w:rsid w:val="73C60B68"/>
    <w:rsid w:val="73C94D36"/>
    <w:rsid w:val="73FF691C"/>
    <w:rsid w:val="75985214"/>
    <w:rsid w:val="75C93EF8"/>
    <w:rsid w:val="75E90518"/>
    <w:rsid w:val="77F51E1A"/>
    <w:rsid w:val="77FBA440"/>
    <w:rsid w:val="78DEC1D9"/>
    <w:rsid w:val="78E8667F"/>
    <w:rsid w:val="799140C2"/>
    <w:rsid w:val="79CB1A06"/>
    <w:rsid w:val="7A4A6FE1"/>
    <w:rsid w:val="7AA4405D"/>
    <w:rsid w:val="7B605366"/>
    <w:rsid w:val="7C5D06CC"/>
    <w:rsid w:val="7CC042F8"/>
    <w:rsid w:val="7D650B15"/>
    <w:rsid w:val="7D6E43C6"/>
    <w:rsid w:val="7D7FD0D9"/>
    <w:rsid w:val="7DDD919C"/>
    <w:rsid w:val="7EB12982"/>
    <w:rsid w:val="7F280929"/>
    <w:rsid w:val="7F7C34DB"/>
    <w:rsid w:val="7FBB82C2"/>
    <w:rsid w:val="7FEB3A7E"/>
    <w:rsid w:val="7FF9E2A1"/>
    <w:rsid w:val="8F6F426E"/>
    <w:rsid w:val="96E75CEE"/>
    <w:rsid w:val="BF9750A9"/>
    <w:rsid w:val="BFBBA153"/>
    <w:rsid w:val="C7FF2AD7"/>
    <w:rsid w:val="CFEEB196"/>
    <w:rsid w:val="D2AEDE02"/>
    <w:rsid w:val="D5FF7021"/>
    <w:rsid w:val="E34FFEA6"/>
    <w:rsid w:val="E3772E87"/>
    <w:rsid w:val="E8FC37B9"/>
    <w:rsid w:val="EBBF51FB"/>
    <w:rsid w:val="ED7B4E90"/>
    <w:rsid w:val="EEBB77EE"/>
    <w:rsid w:val="EEFF7CAF"/>
    <w:rsid w:val="EFF322F3"/>
    <w:rsid w:val="EFFF83D9"/>
    <w:rsid w:val="FBB947B0"/>
    <w:rsid w:val="FBBFD740"/>
    <w:rsid w:val="FBEF220D"/>
    <w:rsid w:val="FC5475EC"/>
    <w:rsid w:val="FD7F3330"/>
    <w:rsid w:val="FD9E029C"/>
    <w:rsid w:val="FDB7F72F"/>
    <w:rsid w:val="FDFED7F2"/>
    <w:rsid w:val="FDFF04FC"/>
    <w:rsid w:val="FDFF2BF1"/>
    <w:rsid w:val="FF3D0F26"/>
    <w:rsid w:val="FFDB0CA3"/>
    <w:rsid w:val="FFED92C0"/>
    <w:rsid w:val="FFF77A68"/>
    <w:rsid w:val="FFFF9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0"/>
    <w:pPr>
      <w:suppressAutoHyphens/>
      <w:jc w:val="left"/>
      <w:outlineLvl w:val="1"/>
    </w:pPr>
    <w:rPr>
      <w:rFonts w:hint="eastAsia" w:ascii="宋体" w:hAnsi="宋体" w:eastAsia="楷体_GB2312"/>
      <w:b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200" w:firstLineChars="200"/>
    </w:pPr>
    <w:rPr>
      <w:rFonts w:ascii="仿宋_GB2312" w:hAnsi="仿宋_GB2312" w:eastAsia="仿宋_GB2312"/>
      <w:sz w:val="32"/>
      <w:szCs w:val="24"/>
    </w:rPr>
  </w:style>
  <w:style w:type="paragraph" w:styleId="4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customStyle="1" w:styleId="11">
    <w:name w:val="标题 2 字符"/>
    <w:basedOn w:val="10"/>
    <w:link w:val="3"/>
    <w:qFormat/>
    <w:uiPriority w:val="0"/>
    <w:rPr>
      <w:rFonts w:hint="eastAsia" w:ascii="宋体" w:hAnsi="宋体" w:eastAsia="楷体_GB2312" w:cs="Times New Roman"/>
      <w:b/>
      <w:color w:val="auto"/>
      <w:szCs w:val="36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281</Words>
  <Characters>1603</Characters>
  <Lines>13</Lines>
  <Paragraphs>3</Paragraphs>
  <TotalTime>34</TotalTime>
  <ScaleCrop>false</ScaleCrop>
  <LinksUpToDate>false</LinksUpToDate>
  <CharactersWithSpaces>1881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2022-04-07T08:38:00Z</dcterms:created>
  <dc:creator>张桂荣</dc:creator>
  <cp:lastModifiedBy>a00201</cp:lastModifiedBy>
  <cp:lastPrinted>2023-09-05T21:46:00Z</cp:lastPrinted>
  <dcterms:modified xsi:type="dcterms:W3CDTF">2024-04-02T17:35:23Z</dcterms:modified>
  <dc:title>关于推进臭氧污染防治的工作方案征求意见汇总表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9F156981574C4CB785405259833625ED</vt:lpwstr>
  </property>
</Properties>
</file>