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03346">
      <w:pPr>
        <w:widowControl/>
        <w:jc w:val="left"/>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附件2</w:t>
      </w:r>
    </w:p>
    <w:p w14:paraId="48855DD4">
      <w:pPr>
        <w:widowControl/>
        <w:jc w:val="left"/>
        <w:rPr>
          <w:rFonts w:eastAsia="黑体"/>
          <w:sz w:val="32"/>
          <w:szCs w:val="32"/>
        </w:rPr>
      </w:pPr>
      <w:r>
        <w:rPr>
          <w:rFonts w:hint="eastAsia" w:ascii="黑体" w:hAnsi="宋体" w:eastAsia="黑体" w:cs="黑体"/>
          <w:color w:val="000000"/>
          <w:kern w:val="0"/>
          <w:sz w:val="32"/>
          <w:szCs w:val="32"/>
          <w:lang w:bidi="ar"/>
        </w:rPr>
        <w:t>宁夏回族自治区地方标准制订项目</w:t>
      </w:r>
    </w:p>
    <w:p w14:paraId="3F6D74F8">
      <w:pPr>
        <w:widowControl/>
        <w:jc w:val="center"/>
        <w:rPr>
          <w:rFonts w:ascii="微软雅黑" w:hAnsi="微软雅黑" w:eastAsia="微软雅黑" w:cs="微软雅黑"/>
          <w:color w:val="000000"/>
          <w:kern w:val="0"/>
          <w:sz w:val="43"/>
          <w:szCs w:val="43"/>
          <w:lang w:bidi="ar"/>
        </w:rPr>
      </w:pPr>
    </w:p>
    <w:p w14:paraId="652D1799">
      <w:pPr>
        <w:widowControl/>
        <w:jc w:val="center"/>
        <w:rPr>
          <w:rFonts w:ascii="方正小标宋_GBK" w:hAnsi="方正小标宋_GBK" w:eastAsia="方正小标宋_GBK" w:cs="方正小标宋_GBK"/>
          <w:color w:val="000000"/>
          <w:kern w:val="0"/>
          <w:sz w:val="43"/>
          <w:szCs w:val="43"/>
          <w:lang w:bidi="ar"/>
        </w:rPr>
      </w:pPr>
      <w:r>
        <w:rPr>
          <w:rFonts w:hint="eastAsia" w:ascii="方正小标宋_GBK" w:hAnsi="方正小标宋_GBK" w:eastAsia="方正小标宋_GBK" w:cs="方正小标宋_GBK"/>
          <w:color w:val="000000"/>
          <w:kern w:val="0"/>
          <w:sz w:val="43"/>
          <w:szCs w:val="43"/>
          <w:lang w:bidi="ar"/>
        </w:rPr>
        <w:t>天然放射性环境调查技术规范</w:t>
      </w:r>
    </w:p>
    <w:p w14:paraId="0DEF29B1">
      <w:pPr>
        <w:widowControl/>
        <w:jc w:val="center"/>
        <w:rPr>
          <w:rFonts w:ascii="方正小标宋_GBK" w:hAnsi="方正小标宋_GBK" w:eastAsia="方正小标宋_GBK" w:cs="方正小标宋_GBK"/>
          <w:color w:val="000000"/>
          <w:kern w:val="0"/>
          <w:sz w:val="43"/>
          <w:szCs w:val="43"/>
          <w:lang w:bidi="ar"/>
        </w:rPr>
      </w:pPr>
    </w:p>
    <w:p w14:paraId="2B1F2E5D">
      <w:pPr>
        <w:widowControl/>
        <w:jc w:val="center"/>
        <w:rPr>
          <w:rFonts w:ascii="方正小标宋_GBK" w:hAnsi="方正小标宋_GBK" w:eastAsia="方正小标宋_GBK" w:cs="方正小标宋_GBK"/>
          <w:color w:val="000000"/>
          <w:kern w:val="0"/>
          <w:sz w:val="43"/>
          <w:szCs w:val="43"/>
          <w:lang w:bidi="ar"/>
        </w:rPr>
      </w:pPr>
    </w:p>
    <w:p w14:paraId="66426F10">
      <w:pPr>
        <w:widowControl/>
        <w:jc w:val="center"/>
        <w:rPr>
          <w:rFonts w:ascii="方正小标宋_GBK" w:hAnsi="方正小标宋_GBK" w:eastAsia="方正小标宋_GBK" w:cs="方正小标宋_GBK"/>
          <w:color w:val="000000"/>
          <w:kern w:val="0"/>
          <w:sz w:val="43"/>
          <w:szCs w:val="43"/>
          <w:lang w:bidi="ar"/>
        </w:rPr>
      </w:pPr>
      <w:r>
        <w:rPr>
          <w:rFonts w:hint="eastAsia" w:ascii="方正小标宋_GBK" w:hAnsi="方正小标宋_GBK" w:eastAsia="方正小标宋_GBK" w:cs="方正小标宋_GBK"/>
          <w:color w:val="000000"/>
          <w:kern w:val="0"/>
          <w:sz w:val="43"/>
          <w:szCs w:val="43"/>
          <w:lang w:bidi="ar"/>
        </w:rPr>
        <w:t>编制说明</w:t>
      </w:r>
    </w:p>
    <w:p w14:paraId="1DABAB61"/>
    <w:p w14:paraId="5DDA77A9"/>
    <w:p w14:paraId="212D7CEA"/>
    <w:p w14:paraId="691DF3C6"/>
    <w:p w14:paraId="3D1DD9CF"/>
    <w:p w14:paraId="3D399CBC"/>
    <w:p w14:paraId="663EBD86"/>
    <w:p w14:paraId="0FF9A6BB"/>
    <w:p w14:paraId="777E20BB"/>
    <w:p w14:paraId="3CBAAD1B"/>
    <w:p w14:paraId="608FB25C"/>
    <w:p w14:paraId="03BA4D31"/>
    <w:p w14:paraId="1D2FF525"/>
    <w:p w14:paraId="53DC4396"/>
    <w:p w14:paraId="4419C5B5"/>
    <w:p w14:paraId="2BC28008"/>
    <w:p w14:paraId="5FB66D20"/>
    <w:p w14:paraId="748543A2"/>
    <w:p w14:paraId="378083FB"/>
    <w:p w14:paraId="5853FDD6"/>
    <w:p w14:paraId="293DE9CA"/>
    <w:p w14:paraId="473EA534"/>
    <w:p w14:paraId="495485EB"/>
    <w:p w14:paraId="4AA273E5"/>
    <w:p w14:paraId="5544E4C4">
      <w:pPr>
        <w:widowControl/>
        <w:jc w:val="center"/>
        <w:rPr>
          <w:rFonts w:ascii="方正小标宋_GBK" w:hAnsi="方正小标宋_GBK" w:eastAsia="方正小标宋_GBK" w:cs="方正小标宋_GBK"/>
          <w:color w:val="000000"/>
          <w:kern w:val="0"/>
          <w:sz w:val="43"/>
          <w:szCs w:val="43"/>
          <w:lang w:bidi="ar"/>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小标宋_GBK" w:hAnsi="方正小标宋_GBK" w:eastAsia="方正小标宋_GBK" w:cs="方正小标宋_GBK"/>
          <w:color w:val="000000"/>
          <w:kern w:val="0"/>
          <w:sz w:val="43"/>
          <w:szCs w:val="43"/>
          <w:lang w:bidi="ar"/>
        </w:rPr>
        <w:t>202</w:t>
      </w:r>
      <w:r>
        <w:rPr>
          <w:rFonts w:ascii="方正小标宋_GBK" w:hAnsi="方正小标宋_GBK" w:eastAsia="方正小标宋_GBK" w:cs="方正小标宋_GBK"/>
          <w:color w:val="000000"/>
          <w:kern w:val="0"/>
          <w:sz w:val="43"/>
          <w:szCs w:val="43"/>
          <w:lang w:bidi="ar"/>
        </w:rPr>
        <w:t>5</w:t>
      </w:r>
      <w:r>
        <w:rPr>
          <w:rFonts w:hint="eastAsia" w:ascii="方正小标宋_GBK" w:hAnsi="方正小标宋_GBK" w:eastAsia="方正小标宋_GBK" w:cs="方正小标宋_GBK"/>
          <w:color w:val="000000"/>
          <w:kern w:val="0"/>
          <w:sz w:val="43"/>
          <w:szCs w:val="43"/>
          <w:lang w:bidi="ar"/>
        </w:rPr>
        <w:t>年7月</w:t>
      </w:r>
    </w:p>
    <w:p w14:paraId="4F092578">
      <w:pPr>
        <w:widowControl/>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目  次</w:t>
      </w:r>
    </w:p>
    <w:sdt>
      <w:sdtPr>
        <w:rPr>
          <w:rFonts w:asciiTheme="minorHAnsi" w:hAnsiTheme="minorHAnsi" w:eastAsiaTheme="minorEastAsia" w:cstheme="minorBidi"/>
          <w:color w:val="auto"/>
          <w:kern w:val="2"/>
          <w:sz w:val="21"/>
          <w:szCs w:val="24"/>
          <w:lang w:val="zh-CN"/>
        </w:rPr>
        <w:id w:val="825092529"/>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14:paraId="2CEF4682">
          <w:pPr>
            <w:pStyle w:val="36"/>
          </w:pPr>
        </w:p>
        <w:p w14:paraId="4E1C9A4A">
          <w:pPr>
            <w:pStyle w:val="11"/>
            <w:tabs>
              <w:tab w:val="right" w:leader="dot" w:pos="8296"/>
            </w:tabs>
            <w:rPr>
              <w:szCs w:val="22"/>
            </w:rPr>
          </w:pPr>
          <w:r>
            <w:fldChar w:fldCharType="begin"/>
          </w:r>
          <w:r>
            <w:instrText xml:space="preserve"> TOC \o "1-3" \h \z \u </w:instrText>
          </w:r>
          <w:r>
            <w:fldChar w:fldCharType="separate"/>
          </w:r>
          <w:r>
            <w:fldChar w:fldCharType="begin"/>
          </w:r>
          <w:r>
            <w:instrText xml:space="preserve"> HYPERLINK \l "_Toc203050031" </w:instrText>
          </w:r>
          <w:r>
            <w:fldChar w:fldCharType="separate"/>
          </w:r>
          <w:r>
            <w:rPr>
              <w:rStyle w:val="19"/>
              <w:rFonts w:hint="eastAsia" w:ascii="Times New Roman" w:hAnsi="Times New Roman" w:eastAsia="黑体" w:cs="Times New Roman"/>
            </w:rPr>
            <w:t>一、工作简况</w:t>
          </w:r>
          <w:r>
            <w:tab/>
          </w:r>
          <w:r>
            <w:fldChar w:fldCharType="begin"/>
          </w:r>
          <w:r>
            <w:instrText xml:space="preserve"> PAGEREF _Toc203050031 \h </w:instrText>
          </w:r>
          <w:r>
            <w:fldChar w:fldCharType="separate"/>
          </w:r>
          <w:r>
            <w:t>1</w:t>
          </w:r>
          <w:r>
            <w:fldChar w:fldCharType="end"/>
          </w:r>
          <w:r>
            <w:fldChar w:fldCharType="end"/>
          </w:r>
        </w:p>
        <w:p w14:paraId="3A57F65B">
          <w:pPr>
            <w:pStyle w:val="12"/>
            <w:tabs>
              <w:tab w:val="right" w:leader="dot" w:pos="8296"/>
            </w:tabs>
            <w:rPr>
              <w:szCs w:val="22"/>
            </w:rPr>
          </w:pPr>
          <w:r>
            <w:fldChar w:fldCharType="begin"/>
          </w:r>
          <w:r>
            <w:instrText xml:space="preserve"> HYPERLINK \l "_Toc203050032" </w:instrText>
          </w:r>
          <w:r>
            <w:fldChar w:fldCharType="separate"/>
          </w:r>
          <w:r>
            <w:rPr>
              <w:rStyle w:val="19"/>
              <w:rFonts w:hint="eastAsia" w:ascii="Times New Roman" w:hAnsi="Times New Roman" w:eastAsia="黑体"/>
              <w:bCs/>
            </w:rPr>
            <w:t>（一）任务来源</w:t>
          </w:r>
          <w:r>
            <w:tab/>
          </w:r>
          <w:r>
            <w:fldChar w:fldCharType="begin"/>
          </w:r>
          <w:r>
            <w:instrText xml:space="preserve"> PAGEREF _Toc203050032 \h </w:instrText>
          </w:r>
          <w:r>
            <w:fldChar w:fldCharType="separate"/>
          </w:r>
          <w:r>
            <w:t>1</w:t>
          </w:r>
          <w:r>
            <w:fldChar w:fldCharType="end"/>
          </w:r>
          <w:r>
            <w:fldChar w:fldCharType="end"/>
          </w:r>
        </w:p>
        <w:p w14:paraId="5B92C2FE">
          <w:pPr>
            <w:pStyle w:val="12"/>
            <w:tabs>
              <w:tab w:val="right" w:leader="dot" w:pos="8296"/>
            </w:tabs>
            <w:rPr>
              <w:szCs w:val="22"/>
            </w:rPr>
          </w:pPr>
          <w:r>
            <w:fldChar w:fldCharType="begin"/>
          </w:r>
          <w:r>
            <w:instrText xml:space="preserve"> HYPERLINK \l "_Toc203050033" </w:instrText>
          </w:r>
          <w:r>
            <w:fldChar w:fldCharType="separate"/>
          </w:r>
          <w:r>
            <w:rPr>
              <w:rStyle w:val="19"/>
              <w:rFonts w:hint="eastAsia" w:ascii="Times New Roman" w:hAnsi="Times New Roman" w:eastAsia="黑体"/>
              <w:bCs/>
            </w:rPr>
            <w:t>（二）起草单位</w:t>
          </w:r>
          <w:r>
            <w:tab/>
          </w:r>
          <w:r>
            <w:fldChar w:fldCharType="begin"/>
          </w:r>
          <w:r>
            <w:instrText xml:space="preserve"> PAGEREF _Toc203050033 \h </w:instrText>
          </w:r>
          <w:r>
            <w:fldChar w:fldCharType="separate"/>
          </w:r>
          <w:r>
            <w:t>1</w:t>
          </w:r>
          <w:r>
            <w:fldChar w:fldCharType="end"/>
          </w:r>
          <w:r>
            <w:fldChar w:fldCharType="end"/>
          </w:r>
        </w:p>
        <w:p w14:paraId="284F847C">
          <w:pPr>
            <w:pStyle w:val="12"/>
            <w:tabs>
              <w:tab w:val="right" w:leader="dot" w:pos="8296"/>
            </w:tabs>
            <w:rPr>
              <w:szCs w:val="22"/>
            </w:rPr>
          </w:pPr>
          <w:r>
            <w:fldChar w:fldCharType="begin"/>
          </w:r>
          <w:r>
            <w:instrText xml:space="preserve"> HYPERLINK \l "_Toc203050034" </w:instrText>
          </w:r>
          <w:r>
            <w:fldChar w:fldCharType="separate"/>
          </w:r>
          <w:r>
            <w:rPr>
              <w:rStyle w:val="19"/>
              <w:rFonts w:hint="eastAsia" w:ascii="Times New Roman" w:hAnsi="Times New Roman" w:eastAsia="黑体"/>
              <w:bCs/>
            </w:rPr>
            <w:t>（三）主要起草人员及任务分工</w:t>
          </w:r>
          <w:r>
            <w:tab/>
          </w:r>
          <w:r>
            <w:fldChar w:fldCharType="begin"/>
          </w:r>
          <w:r>
            <w:instrText xml:space="preserve"> PAGEREF _Toc203050034 \h </w:instrText>
          </w:r>
          <w:r>
            <w:fldChar w:fldCharType="separate"/>
          </w:r>
          <w:r>
            <w:t>1</w:t>
          </w:r>
          <w:r>
            <w:fldChar w:fldCharType="end"/>
          </w:r>
          <w:r>
            <w:fldChar w:fldCharType="end"/>
          </w:r>
        </w:p>
        <w:p w14:paraId="0D9A4657">
          <w:pPr>
            <w:pStyle w:val="11"/>
            <w:tabs>
              <w:tab w:val="right" w:leader="dot" w:pos="8296"/>
            </w:tabs>
            <w:rPr>
              <w:szCs w:val="22"/>
            </w:rPr>
          </w:pPr>
          <w:r>
            <w:fldChar w:fldCharType="begin"/>
          </w:r>
          <w:r>
            <w:instrText xml:space="preserve"> HYPERLINK \l "_Toc203050035" </w:instrText>
          </w:r>
          <w:r>
            <w:fldChar w:fldCharType="separate"/>
          </w:r>
          <w:r>
            <w:rPr>
              <w:rStyle w:val="19"/>
              <w:rFonts w:hint="eastAsia" w:ascii="Times New Roman" w:hAnsi="Times New Roman" w:eastAsia="黑体" w:cs="Times New Roman"/>
            </w:rPr>
            <w:t>二、制定标准的必要性和意义</w:t>
          </w:r>
          <w:r>
            <w:tab/>
          </w:r>
          <w:r>
            <w:fldChar w:fldCharType="begin"/>
          </w:r>
          <w:r>
            <w:instrText xml:space="preserve"> PAGEREF _Toc203050035 \h </w:instrText>
          </w:r>
          <w:r>
            <w:fldChar w:fldCharType="separate"/>
          </w:r>
          <w:r>
            <w:t>3</w:t>
          </w:r>
          <w:r>
            <w:fldChar w:fldCharType="end"/>
          </w:r>
          <w:r>
            <w:fldChar w:fldCharType="end"/>
          </w:r>
        </w:p>
        <w:p w14:paraId="72894168">
          <w:pPr>
            <w:pStyle w:val="12"/>
            <w:tabs>
              <w:tab w:val="right" w:leader="dot" w:pos="8296"/>
            </w:tabs>
            <w:rPr>
              <w:szCs w:val="22"/>
            </w:rPr>
          </w:pPr>
          <w:r>
            <w:fldChar w:fldCharType="begin"/>
          </w:r>
          <w:r>
            <w:instrText xml:space="preserve"> HYPERLINK \l "_Toc203050036" </w:instrText>
          </w:r>
          <w:r>
            <w:fldChar w:fldCharType="separate"/>
          </w:r>
          <w:r>
            <w:rPr>
              <w:rStyle w:val="19"/>
              <w:rFonts w:hint="eastAsia" w:ascii="Times New Roman" w:hAnsi="Times New Roman" w:eastAsia="黑体"/>
              <w:bCs/>
            </w:rPr>
            <w:t>（一）落实法律法规要求，助力生态环境监测和评价</w:t>
          </w:r>
          <w:r>
            <w:tab/>
          </w:r>
          <w:r>
            <w:fldChar w:fldCharType="begin"/>
          </w:r>
          <w:r>
            <w:instrText xml:space="preserve"> PAGEREF _Toc203050036 \h </w:instrText>
          </w:r>
          <w:r>
            <w:fldChar w:fldCharType="separate"/>
          </w:r>
          <w:r>
            <w:t>3</w:t>
          </w:r>
          <w:r>
            <w:fldChar w:fldCharType="end"/>
          </w:r>
          <w:r>
            <w:fldChar w:fldCharType="end"/>
          </w:r>
        </w:p>
        <w:p w14:paraId="169F2FC4">
          <w:pPr>
            <w:pStyle w:val="12"/>
            <w:tabs>
              <w:tab w:val="right" w:leader="dot" w:pos="8296"/>
            </w:tabs>
            <w:rPr>
              <w:szCs w:val="22"/>
            </w:rPr>
          </w:pPr>
          <w:r>
            <w:fldChar w:fldCharType="begin"/>
          </w:r>
          <w:r>
            <w:instrText xml:space="preserve"> HYPERLINK \l "_Toc203050037" </w:instrText>
          </w:r>
          <w:r>
            <w:fldChar w:fldCharType="separate"/>
          </w:r>
          <w:r>
            <w:rPr>
              <w:rStyle w:val="19"/>
              <w:rFonts w:hint="eastAsia" w:ascii="Times New Roman" w:hAnsi="Times New Roman" w:eastAsia="黑体"/>
              <w:bCs/>
            </w:rPr>
            <w:t>（二）适应新发展形势，保障区域辐射环境安全与经济发展</w:t>
          </w:r>
          <w:r>
            <w:tab/>
          </w:r>
          <w:r>
            <w:fldChar w:fldCharType="begin"/>
          </w:r>
          <w:r>
            <w:instrText xml:space="preserve"> PAGEREF _Toc203050037 \h </w:instrText>
          </w:r>
          <w:r>
            <w:fldChar w:fldCharType="separate"/>
          </w:r>
          <w:r>
            <w:t>3</w:t>
          </w:r>
          <w:r>
            <w:fldChar w:fldCharType="end"/>
          </w:r>
          <w:r>
            <w:fldChar w:fldCharType="end"/>
          </w:r>
        </w:p>
        <w:p w14:paraId="73F824C7">
          <w:pPr>
            <w:pStyle w:val="12"/>
            <w:tabs>
              <w:tab w:val="right" w:leader="dot" w:pos="8296"/>
            </w:tabs>
            <w:rPr>
              <w:szCs w:val="22"/>
            </w:rPr>
          </w:pPr>
          <w:r>
            <w:fldChar w:fldCharType="begin"/>
          </w:r>
          <w:r>
            <w:instrText xml:space="preserve"> HYPERLINK \l "_Toc203050038" </w:instrText>
          </w:r>
          <w:r>
            <w:fldChar w:fldCharType="separate"/>
          </w:r>
          <w:r>
            <w:rPr>
              <w:rStyle w:val="19"/>
              <w:rFonts w:hint="eastAsia" w:ascii="Times New Roman" w:hAnsi="Times New Roman" w:eastAsia="黑体"/>
              <w:bCs/>
            </w:rPr>
            <w:t>（三）缩小与先进省市在辐射环境工作方面的差距</w:t>
          </w:r>
          <w:r>
            <w:tab/>
          </w:r>
          <w:r>
            <w:fldChar w:fldCharType="begin"/>
          </w:r>
          <w:r>
            <w:instrText xml:space="preserve"> PAGEREF _Toc203050038 \h </w:instrText>
          </w:r>
          <w:r>
            <w:fldChar w:fldCharType="separate"/>
          </w:r>
          <w:r>
            <w:t>4</w:t>
          </w:r>
          <w:r>
            <w:fldChar w:fldCharType="end"/>
          </w:r>
          <w:r>
            <w:fldChar w:fldCharType="end"/>
          </w:r>
        </w:p>
        <w:p w14:paraId="11A7D770">
          <w:pPr>
            <w:pStyle w:val="12"/>
            <w:tabs>
              <w:tab w:val="right" w:leader="dot" w:pos="8296"/>
            </w:tabs>
            <w:rPr>
              <w:szCs w:val="22"/>
            </w:rPr>
          </w:pPr>
          <w:r>
            <w:fldChar w:fldCharType="begin"/>
          </w:r>
          <w:r>
            <w:instrText xml:space="preserve"> HYPERLINK \l "_Toc203050039" </w:instrText>
          </w:r>
          <w:r>
            <w:fldChar w:fldCharType="separate"/>
          </w:r>
          <w:r>
            <w:rPr>
              <w:rStyle w:val="19"/>
              <w:rFonts w:hint="eastAsia" w:ascii="Times New Roman" w:hAnsi="Times New Roman" w:eastAsia="黑体"/>
              <w:bCs/>
            </w:rPr>
            <w:t>（四）填补标准空缺，统一技术方法</w:t>
          </w:r>
          <w:r>
            <w:tab/>
          </w:r>
          <w:r>
            <w:fldChar w:fldCharType="begin"/>
          </w:r>
          <w:r>
            <w:instrText xml:space="preserve"> PAGEREF _Toc203050039 \h </w:instrText>
          </w:r>
          <w:r>
            <w:fldChar w:fldCharType="separate"/>
          </w:r>
          <w:r>
            <w:t>5</w:t>
          </w:r>
          <w:r>
            <w:fldChar w:fldCharType="end"/>
          </w:r>
          <w:r>
            <w:fldChar w:fldCharType="end"/>
          </w:r>
        </w:p>
        <w:p w14:paraId="6F00A1F3">
          <w:pPr>
            <w:pStyle w:val="11"/>
            <w:tabs>
              <w:tab w:val="right" w:leader="dot" w:pos="8296"/>
            </w:tabs>
            <w:rPr>
              <w:szCs w:val="22"/>
            </w:rPr>
          </w:pPr>
          <w:r>
            <w:fldChar w:fldCharType="begin"/>
          </w:r>
          <w:r>
            <w:instrText xml:space="preserve"> HYPERLINK \l "_Toc203050040" </w:instrText>
          </w:r>
          <w:r>
            <w:fldChar w:fldCharType="separate"/>
          </w:r>
          <w:r>
            <w:rPr>
              <w:rStyle w:val="19"/>
              <w:rFonts w:hint="eastAsia" w:ascii="Times New Roman" w:hAnsi="Times New Roman" w:eastAsia="黑体" w:cs="Times New Roman"/>
            </w:rPr>
            <w:t>三、主要起草过程</w:t>
          </w:r>
          <w:r>
            <w:tab/>
          </w:r>
          <w:r>
            <w:fldChar w:fldCharType="begin"/>
          </w:r>
          <w:r>
            <w:instrText xml:space="preserve"> PAGEREF _Toc203050040 \h </w:instrText>
          </w:r>
          <w:r>
            <w:fldChar w:fldCharType="separate"/>
          </w:r>
          <w:r>
            <w:t>5</w:t>
          </w:r>
          <w:r>
            <w:fldChar w:fldCharType="end"/>
          </w:r>
          <w:r>
            <w:fldChar w:fldCharType="end"/>
          </w:r>
        </w:p>
        <w:p w14:paraId="0651E550">
          <w:pPr>
            <w:pStyle w:val="12"/>
            <w:tabs>
              <w:tab w:val="right" w:leader="dot" w:pos="8296"/>
            </w:tabs>
            <w:rPr>
              <w:szCs w:val="22"/>
            </w:rPr>
          </w:pPr>
          <w:r>
            <w:fldChar w:fldCharType="begin"/>
          </w:r>
          <w:r>
            <w:instrText xml:space="preserve"> HYPERLINK \l "_Toc203050041" </w:instrText>
          </w:r>
          <w:r>
            <w:fldChar w:fldCharType="separate"/>
          </w:r>
          <w:r>
            <w:rPr>
              <w:rStyle w:val="19"/>
              <w:rFonts w:hint="eastAsia" w:ascii="Times New Roman" w:hAnsi="Times New Roman" w:eastAsia="黑体"/>
              <w:bCs/>
            </w:rPr>
            <w:t>（一）成立起草组、确定分工</w:t>
          </w:r>
          <w:r>
            <w:tab/>
          </w:r>
          <w:r>
            <w:fldChar w:fldCharType="begin"/>
          </w:r>
          <w:r>
            <w:instrText xml:space="preserve"> PAGEREF _Toc203050041 \h </w:instrText>
          </w:r>
          <w:r>
            <w:fldChar w:fldCharType="separate"/>
          </w:r>
          <w:r>
            <w:t>5</w:t>
          </w:r>
          <w:r>
            <w:fldChar w:fldCharType="end"/>
          </w:r>
          <w:r>
            <w:fldChar w:fldCharType="end"/>
          </w:r>
        </w:p>
        <w:p w14:paraId="0ED6CF42">
          <w:pPr>
            <w:pStyle w:val="12"/>
            <w:tabs>
              <w:tab w:val="right" w:leader="dot" w:pos="8296"/>
            </w:tabs>
            <w:rPr>
              <w:szCs w:val="22"/>
            </w:rPr>
          </w:pPr>
          <w:r>
            <w:fldChar w:fldCharType="begin"/>
          </w:r>
          <w:r>
            <w:instrText xml:space="preserve"> HYPERLINK \l "_Toc203050042" </w:instrText>
          </w:r>
          <w:r>
            <w:fldChar w:fldCharType="separate"/>
          </w:r>
          <w:r>
            <w:rPr>
              <w:rStyle w:val="19"/>
              <w:rFonts w:hint="eastAsia" w:ascii="Times New Roman" w:hAnsi="Times New Roman" w:eastAsia="黑体"/>
              <w:bCs/>
            </w:rPr>
            <w:t>（二）收集资料</w:t>
          </w:r>
          <w:r>
            <w:tab/>
          </w:r>
          <w:r>
            <w:fldChar w:fldCharType="begin"/>
          </w:r>
          <w:r>
            <w:instrText xml:space="preserve"> PAGEREF _Toc203050042 \h </w:instrText>
          </w:r>
          <w:r>
            <w:fldChar w:fldCharType="separate"/>
          </w:r>
          <w:r>
            <w:t>6</w:t>
          </w:r>
          <w:r>
            <w:fldChar w:fldCharType="end"/>
          </w:r>
          <w:r>
            <w:fldChar w:fldCharType="end"/>
          </w:r>
        </w:p>
        <w:p w14:paraId="61D9DC5C">
          <w:pPr>
            <w:pStyle w:val="12"/>
            <w:tabs>
              <w:tab w:val="right" w:leader="dot" w:pos="8296"/>
            </w:tabs>
            <w:rPr>
              <w:szCs w:val="22"/>
            </w:rPr>
          </w:pPr>
          <w:r>
            <w:fldChar w:fldCharType="begin"/>
          </w:r>
          <w:r>
            <w:instrText xml:space="preserve"> HYPERLINK \l "_Toc203050043" </w:instrText>
          </w:r>
          <w:r>
            <w:fldChar w:fldCharType="separate"/>
          </w:r>
          <w:r>
            <w:rPr>
              <w:rStyle w:val="19"/>
              <w:rFonts w:hint="eastAsia" w:ascii="Times New Roman" w:hAnsi="Times New Roman" w:eastAsia="黑体"/>
              <w:bCs/>
            </w:rPr>
            <w:t>（三）调研及意见咨询</w:t>
          </w:r>
          <w:r>
            <w:tab/>
          </w:r>
          <w:r>
            <w:fldChar w:fldCharType="begin"/>
          </w:r>
          <w:r>
            <w:instrText xml:space="preserve"> PAGEREF _Toc203050043 \h </w:instrText>
          </w:r>
          <w:r>
            <w:fldChar w:fldCharType="separate"/>
          </w:r>
          <w:r>
            <w:t>7</w:t>
          </w:r>
          <w:r>
            <w:fldChar w:fldCharType="end"/>
          </w:r>
          <w:r>
            <w:fldChar w:fldCharType="end"/>
          </w:r>
        </w:p>
        <w:p w14:paraId="7DE796E6">
          <w:pPr>
            <w:pStyle w:val="12"/>
            <w:tabs>
              <w:tab w:val="right" w:leader="dot" w:pos="8296"/>
            </w:tabs>
            <w:rPr>
              <w:szCs w:val="22"/>
            </w:rPr>
          </w:pPr>
          <w:r>
            <w:fldChar w:fldCharType="begin"/>
          </w:r>
          <w:r>
            <w:instrText xml:space="preserve"> HYPERLINK \l "_Toc203050044" </w:instrText>
          </w:r>
          <w:r>
            <w:fldChar w:fldCharType="separate"/>
          </w:r>
          <w:r>
            <w:rPr>
              <w:rStyle w:val="19"/>
              <w:rFonts w:hint="eastAsia" w:ascii="Times New Roman" w:hAnsi="Times New Roman" w:eastAsia="黑体"/>
              <w:bCs/>
            </w:rPr>
            <w:t>（四）编制标准草案</w:t>
          </w:r>
          <w:r>
            <w:tab/>
          </w:r>
          <w:r>
            <w:fldChar w:fldCharType="begin"/>
          </w:r>
          <w:r>
            <w:instrText xml:space="preserve"> PAGEREF _Toc203050044 \h </w:instrText>
          </w:r>
          <w:r>
            <w:fldChar w:fldCharType="separate"/>
          </w:r>
          <w:r>
            <w:t>7</w:t>
          </w:r>
          <w:r>
            <w:fldChar w:fldCharType="end"/>
          </w:r>
          <w:r>
            <w:fldChar w:fldCharType="end"/>
          </w:r>
        </w:p>
        <w:p w14:paraId="389501D2">
          <w:pPr>
            <w:pStyle w:val="11"/>
            <w:tabs>
              <w:tab w:val="right" w:leader="dot" w:pos="8296"/>
            </w:tabs>
            <w:rPr>
              <w:szCs w:val="22"/>
            </w:rPr>
          </w:pPr>
          <w:r>
            <w:fldChar w:fldCharType="begin"/>
          </w:r>
          <w:r>
            <w:instrText xml:space="preserve"> HYPERLINK \l "_Toc203050045" </w:instrText>
          </w:r>
          <w:r>
            <w:fldChar w:fldCharType="separate"/>
          </w:r>
          <w:r>
            <w:rPr>
              <w:rStyle w:val="19"/>
              <w:rFonts w:hint="eastAsia" w:ascii="Times New Roman" w:hAnsi="Times New Roman" w:eastAsia="黑体" w:cs="Times New Roman"/>
            </w:rPr>
            <w:t>四、编制原则和依据，与现行法律、法规、标准的关系</w:t>
          </w:r>
          <w:r>
            <w:tab/>
          </w:r>
          <w:r>
            <w:fldChar w:fldCharType="begin"/>
          </w:r>
          <w:r>
            <w:instrText xml:space="preserve"> PAGEREF _Toc203050045 \h </w:instrText>
          </w:r>
          <w:r>
            <w:fldChar w:fldCharType="separate"/>
          </w:r>
          <w:r>
            <w:t>9</w:t>
          </w:r>
          <w:r>
            <w:fldChar w:fldCharType="end"/>
          </w:r>
          <w:r>
            <w:fldChar w:fldCharType="end"/>
          </w:r>
        </w:p>
        <w:p w14:paraId="4773B054">
          <w:pPr>
            <w:pStyle w:val="12"/>
            <w:tabs>
              <w:tab w:val="right" w:leader="dot" w:pos="8296"/>
            </w:tabs>
            <w:rPr>
              <w:szCs w:val="22"/>
            </w:rPr>
          </w:pPr>
          <w:r>
            <w:fldChar w:fldCharType="begin"/>
          </w:r>
          <w:r>
            <w:instrText xml:space="preserve"> HYPERLINK \l "_Toc203050046" </w:instrText>
          </w:r>
          <w:r>
            <w:fldChar w:fldCharType="separate"/>
          </w:r>
          <w:r>
            <w:rPr>
              <w:rStyle w:val="19"/>
              <w:rFonts w:hint="eastAsia" w:ascii="Times New Roman" w:hAnsi="Times New Roman" w:eastAsia="黑体"/>
              <w:bCs/>
            </w:rPr>
            <w:t>（一）编制原则</w:t>
          </w:r>
          <w:r>
            <w:tab/>
          </w:r>
          <w:r>
            <w:fldChar w:fldCharType="begin"/>
          </w:r>
          <w:r>
            <w:instrText xml:space="preserve"> PAGEREF _Toc203050046 \h </w:instrText>
          </w:r>
          <w:r>
            <w:fldChar w:fldCharType="separate"/>
          </w:r>
          <w:r>
            <w:t>9</w:t>
          </w:r>
          <w:r>
            <w:fldChar w:fldCharType="end"/>
          </w:r>
          <w:r>
            <w:fldChar w:fldCharType="end"/>
          </w:r>
        </w:p>
        <w:p w14:paraId="3C405497">
          <w:pPr>
            <w:pStyle w:val="12"/>
            <w:tabs>
              <w:tab w:val="right" w:leader="dot" w:pos="8296"/>
            </w:tabs>
            <w:rPr>
              <w:szCs w:val="22"/>
            </w:rPr>
          </w:pPr>
          <w:r>
            <w:fldChar w:fldCharType="begin"/>
          </w:r>
          <w:r>
            <w:instrText xml:space="preserve"> HYPERLINK \l "_Toc203050047" </w:instrText>
          </w:r>
          <w:r>
            <w:fldChar w:fldCharType="separate"/>
          </w:r>
          <w:r>
            <w:rPr>
              <w:rStyle w:val="19"/>
              <w:rFonts w:hint="eastAsia" w:ascii="Times New Roman" w:hAnsi="Times New Roman" w:eastAsia="黑体"/>
              <w:bCs/>
            </w:rPr>
            <w:t>（二）编制依据</w:t>
          </w:r>
          <w:r>
            <w:tab/>
          </w:r>
          <w:r>
            <w:fldChar w:fldCharType="begin"/>
          </w:r>
          <w:r>
            <w:instrText xml:space="preserve"> PAGEREF _Toc203050047 \h </w:instrText>
          </w:r>
          <w:r>
            <w:fldChar w:fldCharType="separate"/>
          </w:r>
          <w:r>
            <w:t>9</w:t>
          </w:r>
          <w:r>
            <w:fldChar w:fldCharType="end"/>
          </w:r>
          <w:r>
            <w:fldChar w:fldCharType="end"/>
          </w:r>
        </w:p>
        <w:p w14:paraId="0AFA090A">
          <w:pPr>
            <w:pStyle w:val="12"/>
            <w:tabs>
              <w:tab w:val="right" w:leader="dot" w:pos="8296"/>
            </w:tabs>
            <w:rPr>
              <w:szCs w:val="22"/>
            </w:rPr>
          </w:pPr>
          <w:r>
            <w:fldChar w:fldCharType="begin"/>
          </w:r>
          <w:r>
            <w:instrText xml:space="preserve"> HYPERLINK \l "_Toc203050048" </w:instrText>
          </w:r>
          <w:r>
            <w:fldChar w:fldCharType="separate"/>
          </w:r>
          <w:r>
            <w:rPr>
              <w:rStyle w:val="19"/>
              <w:rFonts w:hint="eastAsia" w:ascii="Times New Roman" w:hAnsi="Times New Roman" w:eastAsia="黑体"/>
              <w:bCs/>
            </w:rPr>
            <w:t>（三）与现行法律法规、标准的关系</w:t>
          </w:r>
          <w:r>
            <w:tab/>
          </w:r>
          <w:r>
            <w:fldChar w:fldCharType="begin"/>
          </w:r>
          <w:r>
            <w:instrText xml:space="preserve"> PAGEREF _Toc203050048 \h </w:instrText>
          </w:r>
          <w:r>
            <w:fldChar w:fldCharType="separate"/>
          </w:r>
          <w:r>
            <w:t>11</w:t>
          </w:r>
          <w:r>
            <w:fldChar w:fldCharType="end"/>
          </w:r>
          <w:r>
            <w:fldChar w:fldCharType="end"/>
          </w:r>
        </w:p>
        <w:p w14:paraId="3539727D">
          <w:pPr>
            <w:pStyle w:val="11"/>
            <w:tabs>
              <w:tab w:val="right" w:leader="dot" w:pos="8296"/>
            </w:tabs>
            <w:rPr>
              <w:szCs w:val="22"/>
            </w:rPr>
          </w:pPr>
          <w:r>
            <w:fldChar w:fldCharType="begin"/>
          </w:r>
          <w:r>
            <w:instrText xml:space="preserve"> HYPERLINK \l "_Toc203050049" </w:instrText>
          </w:r>
          <w:r>
            <w:fldChar w:fldCharType="separate"/>
          </w:r>
          <w:r>
            <w:rPr>
              <w:rStyle w:val="19"/>
              <w:rFonts w:hint="eastAsia" w:ascii="Times New Roman" w:hAnsi="Times New Roman" w:eastAsia="黑体" w:cs="Times New Roman"/>
            </w:rPr>
            <w:t>五、主要条款的说明，主要技术指标、参数、实验验证的论述</w:t>
          </w:r>
          <w:r>
            <w:tab/>
          </w:r>
          <w:r>
            <w:fldChar w:fldCharType="begin"/>
          </w:r>
          <w:r>
            <w:instrText xml:space="preserve"> PAGEREF _Toc203050049 \h </w:instrText>
          </w:r>
          <w:r>
            <w:fldChar w:fldCharType="separate"/>
          </w:r>
          <w:r>
            <w:t>13</w:t>
          </w:r>
          <w:r>
            <w:fldChar w:fldCharType="end"/>
          </w:r>
          <w:r>
            <w:fldChar w:fldCharType="end"/>
          </w:r>
        </w:p>
        <w:p w14:paraId="77EA058A">
          <w:pPr>
            <w:pStyle w:val="12"/>
            <w:tabs>
              <w:tab w:val="right" w:leader="dot" w:pos="8296"/>
            </w:tabs>
            <w:rPr>
              <w:szCs w:val="22"/>
            </w:rPr>
          </w:pPr>
          <w:r>
            <w:fldChar w:fldCharType="begin"/>
          </w:r>
          <w:r>
            <w:instrText xml:space="preserve"> HYPERLINK \l "_Toc203050050" </w:instrText>
          </w:r>
          <w:r>
            <w:fldChar w:fldCharType="separate"/>
          </w:r>
          <w:r>
            <w:rPr>
              <w:rStyle w:val="19"/>
              <w:rFonts w:hint="eastAsia" w:ascii="Times New Roman" w:hAnsi="Times New Roman" w:eastAsia="黑体"/>
              <w:bCs/>
            </w:rPr>
            <w:t>（一）主要条款说明</w:t>
          </w:r>
          <w:r>
            <w:tab/>
          </w:r>
          <w:r>
            <w:fldChar w:fldCharType="begin"/>
          </w:r>
          <w:r>
            <w:instrText xml:space="preserve"> PAGEREF _Toc203050050 \h </w:instrText>
          </w:r>
          <w:r>
            <w:fldChar w:fldCharType="separate"/>
          </w:r>
          <w:r>
            <w:t>13</w:t>
          </w:r>
          <w:r>
            <w:fldChar w:fldCharType="end"/>
          </w:r>
          <w:r>
            <w:fldChar w:fldCharType="end"/>
          </w:r>
        </w:p>
        <w:p w14:paraId="6D04AA03">
          <w:pPr>
            <w:pStyle w:val="12"/>
            <w:tabs>
              <w:tab w:val="right" w:leader="dot" w:pos="8296"/>
            </w:tabs>
            <w:rPr>
              <w:szCs w:val="22"/>
            </w:rPr>
          </w:pPr>
          <w:r>
            <w:fldChar w:fldCharType="begin"/>
          </w:r>
          <w:r>
            <w:instrText xml:space="preserve"> HYPERLINK \l "_Toc203050062" </w:instrText>
          </w:r>
          <w:r>
            <w:fldChar w:fldCharType="separate"/>
          </w:r>
          <w:r>
            <w:rPr>
              <w:rStyle w:val="19"/>
              <w:rFonts w:hint="eastAsia" w:ascii="Times New Roman" w:hAnsi="Times New Roman" w:eastAsia="黑体"/>
              <w:bCs/>
            </w:rPr>
            <w:t>（二）主要技术指标、参数、试验验证的论述</w:t>
          </w:r>
          <w:r>
            <w:tab/>
          </w:r>
          <w:r>
            <w:fldChar w:fldCharType="begin"/>
          </w:r>
          <w:r>
            <w:instrText xml:space="preserve"> PAGEREF _Toc203050062 \h </w:instrText>
          </w:r>
          <w:r>
            <w:fldChar w:fldCharType="separate"/>
          </w:r>
          <w:r>
            <w:t>33</w:t>
          </w:r>
          <w:r>
            <w:fldChar w:fldCharType="end"/>
          </w:r>
          <w:r>
            <w:fldChar w:fldCharType="end"/>
          </w:r>
        </w:p>
        <w:p w14:paraId="66FB1AC4">
          <w:pPr>
            <w:pStyle w:val="12"/>
            <w:tabs>
              <w:tab w:val="right" w:leader="dot" w:pos="8296"/>
            </w:tabs>
            <w:rPr>
              <w:szCs w:val="22"/>
            </w:rPr>
          </w:pPr>
          <w:r>
            <w:fldChar w:fldCharType="begin"/>
          </w:r>
          <w:r>
            <w:instrText xml:space="preserve"> HYPERLINK \l "_Toc203050063" </w:instrText>
          </w:r>
          <w:r>
            <w:fldChar w:fldCharType="separate"/>
          </w:r>
          <w:r>
            <w:rPr>
              <w:rStyle w:val="19"/>
              <w:rFonts w:hint="eastAsia" w:ascii="Times New Roman" w:hAnsi="Times New Roman" w:eastAsia="黑体"/>
              <w:bCs/>
            </w:rPr>
            <w:t>（三）标准实施效益与技术经济分析</w:t>
          </w:r>
          <w:r>
            <w:tab/>
          </w:r>
          <w:r>
            <w:fldChar w:fldCharType="begin"/>
          </w:r>
          <w:r>
            <w:instrText xml:space="preserve"> PAGEREF _Toc203050063 \h </w:instrText>
          </w:r>
          <w:r>
            <w:fldChar w:fldCharType="separate"/>
          </w:r>
          <w:r>
            <w:t>40</w:t>
          </w:r>
          <w:r>
            <w:fldChar w:fldCharType="end"/>
          </w:r>
          <w:r>
            <w:fldChar w:fldCharType="end"/>
          </w:r>
        </w:p>
        <w:p w14:paraId="4A3EBDC6">
          <w:pPr>
            <w:pStyle w:val="11"/>
            <w:tabs>
              <w:tab w:val="right" w:leader="dot" w:pos="8296"/>
            </w:tabs>
            <w:rPr>
              <w:szCs w:val="22"/>
            </w:rPr>
          </w:pPr>
          <w:r>
            <w:fldChar w:fldCharType="begin"/>
          </w:r>
          <w:r>
            <w:instrText xml:space="preserve"> HYPERLINK \l "_Toc203050064" </w:instrText>
          </w:r>
          <w:r>
            <w:fldChar w:fldCharType="separate"/>
          </w:r>
          <w:r>
            <w:rPr>
              <w:rStyle w:val="19"/>
              <w:rFonts w:hint="eastAsia" w:ascii="Times New Roman" w:hAnsi="Times New Roman" w:eastAsia="黑体" w:cs="Times New Roman"/>
            </w:rPr>
            <w:t>六、重大意见分歧的处理依据和结果</w:t>
          </w:r>
          <w:r>
            <w:tab/>
          </w:r>
          <w:r>
            <w:fldChar w:fldCharType="begin"/>
          </w:r>
          <w:r>
            <w:instrText xml:space="preserve"> PAGEREF _Toc203050064 \h </w:instrText>
          </w:r>
          <w:r>
            <w:fldChar w:fldCharType="separate"/>
          </w:r>
          <w:r>
            <w:t>42</w:t>
          </w:r>
          <w:r>
            <w:fldChar w:fldCharType="end"/>
          </w:r>
          <w:r>
            <w:fldChar w:fldCharType="end"/>
          </w:r>
        </w:p>
        <w:p w14:paraId="64033656">
          <w:pPr>
            <w:pStyle w:val="11"/>
            <w:tabs>
              <w:tab w:val="right" w:leader="dot" w:pos="8296"/>
            </w:tabs>
            <w:rPr>
              <w:szCs w:val="22"/>
            </w:rPr>
          </w:pPr>
          <w:r>
            <w:fldChar w:fldCharType="begin"/>
          </w:r>
          <w:r>
            <w:instrText xml:space="preserve"> HYPERLINK \l "_Toc203050065" </w:instrText>
          </w:r>
          <w:r>
            <w:fldChar w:fldCharType="separate"/>
          </w:r>
          <w:r>
            <w:rPr>
              <w:rStyle w:val="19"/>
              <w:rFonts w:hint="eastAsia" w:ascii="Times New Roman" w:hAnsi="Times New Roman" w:eastAsia="黑体" w:cs="Times New Roman"/>
            </w:rPr>
            <w:t>七、实施标准的措施及建议</w:t>
          </w:r>
          <w:r>
            <w:tab/>
          </w:r>
          <w:r>
            <w:fldChar w:fldCharType="begin"/>
          </w:r>
          <w:r>
            <w:instrText xml:space="preserve"> PAGEREF _Toc203050065 \h </w:instrText>
          </w:r>
          <w:r>
            <w:fldChar w:fldCharType="separate"/>
          </w:r>
          <w:r>
            <w:t>42</w:t>
          </w:r>
          <w:r>
            <w:fldChar w:fldCharType="end"/>
          </w:r>
          <w:r>
            <w:fldChar w:fldCharType="end"/>
          </w:r>
        </w:p>
        <w:p w14:paraId="6A48602D">
          <w:pPr>
            <w:pStyle w:val="11"/>
            <w:tabs>
              <w:tab w:val="right" w:leader="dot" w:pos="8296"/>
            </w:tabs>
            <w:rPr>
              <w:szCs w:val="22"/>
            </w:rPr>
          </w:pPr>
          <w:r>
            <w:fldChar w:fldCharType="begin"/>
          </w:r>
          <w:r>
            <w:instrText xml:space="preserve"> HYPERLINK \l "_Toc203050066" </w:instrText>
          </w:r>
          <w:r>
            <w:fldChar w:fldCharType="separate"/>
          </w:r>
          <w:r>
            <w:rPr>
              <w:rStyle w:val="19"/>
              <w:rFonts w:hint="eastAsia" w:ascii="Times New Roman" w:hAnsi="Times New Roman" w:eastAsia="黑体" w:cs="Times New Roman"/>
            </w:rPr>
            <w:t>八、知识产权说明</w:t>
          </w:r>
          <w:r>
            <w:tab/>
          </w:r>
          <w:r>
            <w:fldChar w:fldCharType="begin"/>
          </w:r>
          <w:r>
            <w:instrText xml:space="preserve"> PAGEREF _Toc203050066 \h </w:instrText>
          </w:r>
          <w:r>
            <w:fldChar w:fldCharType="separate"/>
          </w:r>
          <w:r>
            <w:t>43</w:t>
          </w:r>
          <w:r>
            <w:fldChar w:fldCharType="end"/>
          </w:r>
          <w:r>
            <w:fldChar w:fldCharType="end"/>
          </w:r>
        </w:p>
        <w:p w14:paraId="759E7D81">
          <w:pPr>
            <w:pStyle w:val="11"/>
            <w:tabs>
              <w:tab w:val="right" w:leader="dot" w:pos="8296"/>
            </w:tabs>
            <w:rPr>
              <w:szCs w:val="22"/>
            </w:rPr>
          </w:pPr>
          <w:r>
            <w:fldChar w:fldCharType="begin"/>
          </w:r>
          <w:r>
            <w:instrText xml:space="preserve"> HYPERLINK \l "_Toc203050067" </w:instrText>
          </w:r>
          <w:r>
            <w:fldChar w:fldCharType="separate"/>
          </w:r>
          <w:r>
            <w:rPr>
              <w:rStyle w:val="19"/>
              <w:rFonts w:hint="eastAsia" w:ascii="Times New Roman" w:hAnsi="Times New Roman" w:eastAsia="黑体" w:cs="Times New Roman"/>
            </w:rPr>
            <w:t>九、其他应说明的事项</w:t>
          </w:r>
          <w:r>
            <w:tab/>
          </w:r>
          <w:r>
            <w:fldChar w:fldCharType="begin"/>
          </w:r>
          <w:r>
            <w:instrText xml:space="preserve"> PAGEREF _Toc203050067 \h </w:instrText>
          </w:r>
          <w:r>
            <w:fldChar w:fldCharType="separate"/>
          </w:r>
          <w:r>
            <w:t>43</w:t>
          </w:r>
          <w:r>
            <w:fldChar w:fldCharType="end"/>
          </w:r>
          <w:r>
            <w:fldChar w:fldCharType="end"/>
          </w:r>
        </w:p>
        <w:p w14:paraId="5C41B1ED">
          <w:pPr>
            <w:pStyle w:val="12"/>
            <w:tabs>
              <w:tab w:val="right" w:leader="dot" w:pos="8296"/>
            </w:tabs>
            <w:rPr>
              <w:szCs w:val="22"/>
            </w:rPr>
          </w:pPr>
          <w:r>
            <w:fldChar w:fldCharType="begin"/>
          </w:r>
          <w:r>
            <w:instrText xml:space="preserve"> HYPERLINK \l "_Toc203050068" </w:instrText>
          </w:r>
          <w:r>
            <w:fldChar w:fldCharType="separate"/>
          </w:r>
          <w:r>
            <w:rPr>
              <w:rStyle w:val="19"/>
              <w:rFonts w:hint="eastAsia" w:ascii="Times New Roman" w:hAnsi="Times New Roman" w:eastAsia="黑体"/>
              <w:bCs/>
            </w:rPr>
            <w:t>（一）国内相关标准比较说明</w:t>
          </w:r>
          <w:r>
            <w:tab/>
          </w:r>
          <w:r>
            <w:fldChar w:fldCharType="begin"/>
          </w:r>
          <w:r>
            <w:instrText xml:space="preserve"> PAGEREF _Toc203050068 \h </w:instrText>
          </w:r>
          <w:r>
            <w:fldChar w:fldCharType="separate"/>
          </w:r>
          <w:r>
            <w:t>43</w:t>
          </w:r>
          <w:r>
            <w:fldChar w:fldCharType="end"/>
          </w:r>
          <w:r>
            <w:fldChar w:fldCharType="end"/>
          </w:r>
        </w:p>
        <w:p w14:paraId="5F53B8DF">
          <w:pPr>
            <w:pStyle w:val="12"/>
            <w:tabs>
              <w:tab w:val="right" w:leader="dot" w:pos="8296"/>
            </w:tabs>
            <w:rPr>
              <w:szCs w:val="22"/>
            </w:rPr>
          </w:pPr>
          <w:r>
            <w:fldChar w:fldCharType="begin"/>
          </w:r>
          <w:r>
            <w:instrText xml:space="preserve"> HYPERLINK \l "_Toc203050069" </w:instrText>
          </w:r>
          <w:r>
            <w:fldChar w:fldCharType="separate"/>
          </w:r>
          <w:r>
            <w:rPr>
              <w:rStyle w:val="19"/>
              <w:rFonts w:hint="eastAsia" w:ascii="Times New Roman" w:hAnsi="Times New Roman" w:eastAsia="黑体"/>
              <w:bCs/>
            </w:rPr>
            <w:t>（二）国际相关标准比较说明</w:t>
          </w:r>
          <w:r>
            <w:tab/>
          </w:r>
          <w:r>
            <w:fldChar w:fldCharType="begin"/>
          </w:r>
          <w:r>
            <w:instrText xml:space="preserve"> PAGEREF _Toc203050069 \h </w:instrText>
          </w:r>
          <w:r>
            <w:fldChar w:fldCharType="separate"/>
          </w:r>
          <w:r>
            <w:t>45</w:t>
          </w:r>
          <w:r>
            <w:fldChar w:fldCharType="end"/>
          </w:r>
          <w:r>
            <w:fldChar w:fldCharType="end"/>
          </w:r>
        </w:p>
        <w:p w14:paraId="29E832CE">
          <w:pPr>
            <w:pStyle w:val="12"/>
            <w:tabs>
              <w:tab w:val="right" w:leader="dot" w:pos="8296"/>
            </w:tabs>
            <w:rPr>
              <w:szCs w:val="22"/>
            </w:rPr>
          </w:pPr>
          <w:r>
            <w:fldChar w:fldCharType="begin"/>
          </w:r>
          <w:r>
            <w:instrText xml:space="preserve"> HYPERLINK \l "_Toc203050070" </w:instrText>
          </w:r>
          <w:r>
            <w:fldChar w:fldCharType="separate"/>
          </w:r>
          <w:r>
            <w:rPr>
              <w:rStyle w:val="19"/>
              <w:rFonts w:hint="eastAsia" w:ascii="Times New Roman" w:hAnsi="Times New Roman" w:eastAsia="黑体"/>
              <w:bCs/>
            </w:rPr>
            <w:t>（三）宁夏放射性环境调查历史及现状</w:t>
          </w:r>
          <w:r>
            <w:tab/>
          </w:r>
          <w:r>
            <w:fldChar w:fldCharType="begin"/>
          </w:r>
          <w:r>
            <w:instrText xml:space="preserve"> PAGEREF _Toc203050070 \h </w:instrText>
          </w:r>
          <w:r>
            <w:fldChar w:fldCharType="separate"/>
          </w:r>
          <w:r>
            <w:t>46</w:t>
          </w:r>
          <w:r>
            <w:fldChar w:fldCharType="end"/>
          </w:r>
          <w:r>
            <w:fldChar w:fldCharType="end"/>
          </w:r>
        </w:p>
        <w:p w14:paraId="4BF1E2F9">
          <w:pPr>
            <w:pStyle w:val="12"/>
            <w:tabs>
              <w:tab w:val="right" w:leader="dot" w:pos="8296"/>
            </w:tabs>
            <w:rPr>
              <w:szCs w:val="22"/>
            </w:rPr>
          </w:pPr>
          <w:r>
            <w:fldChar w:fldCharType="begin"/>
          </w:r>
          <w:r>
            <w:instrText xml:space="preserve"> HYPERLINK \l "_Toc203050071" </w:instrText>
          </w:r>
          <w:r>
            <w:fldChar w:fldCharType="separate"/>
          </w:r>
          <w:r>
            <w:rPr>
              <w:rStyle w:val="19"/>
              <w:rFonts w:hint="eastAsia" w:ascii="方正小标宋_GBK" w:hAnsi="黑体" w:eastAsia="方正小标宋_GBK"/>
              <w:bCs/>
            </w:rPr>
            <w:t>宁夏回族自治区</w:t>
          </w:r>
          <w:r>
            <w:rPr>
              <w:rStyle w:val="19"/>
              <w:rFonts w:ascii="方正小标宋_GBK" w:hAnsi="黑体" w:eastAsia="方正小标宋_GBK"/>
              <w:bCs/>
            </w:rPr>
            <w:t xml:space="preserve">  </w:t>
          </w:r>
          <w:r>
            <w:rPr>
              <w:rStyle w:val="19"/>
              <w:rFonts w:hint="eastAsia" w:ascii="方正小标宋_GBK" w:hAnsi="黑体" w:eastAsia="方正小标宋_GBK"/>
              <w:bCs/>
            </w:rPr>
            <w:t>天然放射性环境调查技术规范</w:t>
          </w:r>
          <w:r>
            <w:rPr>
              <w:rStyle w:val="19"/>
              <w:rFonts w:ascii="方正小标宋_GBK" w:hAnsi="黑体" w:eastAsia="方正小标宋_GBK"/>
              <w:bCs/>
            </w:rPr>
            <w:t xml:space="preserve">  </w:t>
          </w:r>
          <w:r>
            <w:rPr>
              <w:rStyle w:val="19"/>
              <w:rFonts w:hint="eastAsia" w:ascii="方正小标宋_GBK" w:hAnsi="黑体" w:eastAsia="方正小标宋_GBK"/>
              <w:bCs/>
            </w:rPr>
            <w:t>地方标准征求意见汇总处理表</w:t>
          </w:r>
          <w:r>
            <w:tab/>
          </w:r>
          <w:r>
            <w:fldChar w:fldCharType="begin"/>
          </w:r>
          <w:r>
            <w:instrText xml:space="preserve"> PAGEREF _Toc203050071 \h </w:instrText>
          </w:r>
          <w:r>
            <w:fldChar w:fldCharType="separate"/>
          </w:r>
          <w:r>
            <w:t>49</w:t>
          </w:r>
          <w:r>
            <w:fldChar w:fldCharType="end"/>
          </w:r>
          <w:r>
            <w:fldChar w:fldCharType="end"/>
          </w:r>
        </w:p>
        <w:p w14:paraId="56EFAF32">
          <w:r>
            <w:rPr>
              <w:b/>
              <w:bCs/>
              <w:lang w:val="zh-CN"/>
            </w:rPr>
            <w:fldChar w:fldCharType="end"/>
          </w:r>
        </w:p>
      </w:sdtContent>
    </w:sdt>
    <w:p w14:paraId="442106F4">
      <w:pPr>
        <w:widowControl/>
        <w:jc w:val="left"/>
        <w:rPr>
          <w:rFonts w:ascii="黑体" w:hAnsi="宋体" w:eastAsia="黑体" w:cs="黑体"/>
          <w:color w:val="000000"/>
          <w:kern w:val="0"/>
          <w:sz w:val="31"/>
          <w:szCs w:val="31"/>
          <w:lang w:bidi="ar"/>
        </w:rPr>
        <w:sectPr>
          <w:pgSz w:w="11906" w:h="16838"/>
          <w:pgMar w:top="1440" w:right="1800" w:bottom="1440" w:left="1800" w:header="851" w:footer="992" w:gutter="0"/>
          <w:pgNumType w:start="1"/>
          <w:cols w:space="425" w:num="1"/>
          <w:docGrid w:type="lines" w:linePitch="312" w:charSpace="0"/>
        </w:sectPr>
      </w:pPr>
    </w:p>
    <w:p w14:paraId="421486CC">
      <w:pPr>
        <w:pStyle w:val="13"/>
        <w:spacing w:line="560" w:lineRule="exact"/>
        <w:outlineLvl w:val="9"/>
        <w:rPr>
          <w:rFonts w:ascii="方正小标宋_GBK" w:hAnsi="方正小标宋_GBK" w:eastAsia="方正小标宋_GBK" w:cs="方正小标宋_GBK"/>
          <w:b w:val="0"/>
          <w:bCs w:val="0"/>
          <w:sz w:val="44"/>
          <w:szCs w:val="44"/>
        </w:rPr>
      </w:pPr>
      <w:bookmarkStart w:id="0" w:name="_Toc201849487"/>
      <w:bookmarkStart w:id="1" w:name="_Toc200901143"/>
      <w:r>
        <w:rPr>
          <w:rFonts w:hint="eastAsia" w:ascii="方正小标宋_GBK" w:hAnsi="方正小标宋_GBK" w:eastAsia="方正小标宋_GBK" w:cs="方正小标宋_GBK"/>
          <w:b w:val="0"/>
          <w:bCs w:val="0"/>
          <w:sz w:val="44"/>
          <w:szCs w:val="44"/>
        </w:rPr>
        <w:t>《天然放射性环境调查技术规范》</w:t>
      </w:r>
      <w:bookmarkEnd w:id="0"/>
      <w:bookmarkEnd w:id="1"/>
    </w:p>
    <w:p w14:paraId="288416E1">
      <w:pPr>
        <w:pStyle w:val="13"/>
        <w:spacing w:line="560" w:lineRule="exact"/>
        <w:outlineLvl w:val="9"/>
        <w:rPr>
          <w:rFonts w:ascii="方正小标宋_GBK" w:hAnsi="方正小标宋_GBK" w:eastAsia="方正小标宋_GBK" w:cs="方正小标宋_GBK"/>
          <w:sz w:val="44"/>
          <w:szCs w:val="44"/>
        </w:rPr>
      </w:pPr>
      <w:bookmarkStart w:id="2" w:name="_Toc201849488"/>
      <w:bookmarkStart w:id="3" w:name="_Toc200901144"/>
      <w:r>
        <w:rPr>
          <w:rFonts w:hint="eastAsia" w:ascii="方正小标宋_GBK" w:hAnsi="方正小标宋_GBK" w:eastAsia="方正小标宋_GBK" w:cs="方正小标宋_GBK"/>
          <w:b w:val="0"/>
          <w:bCs w:val="0"/>
          <w:sz w:val="44"/>
          <w:szCs w:val="44"/>
        </w:rPr>
        <w:t>地方标准编制说明</w:t>
      </w:r>
      <w:bookmarkEnd w:id="2"/>
      <w:bookmarkEnd w:id="3"/>
    </w:p>
    <w:p w14:paraId="6E6E7640">
      <w:pPr>
        <w:spacing w:line="560" w:lineRule="exact"/>
        <w:ind w:firstLine="640" w:firstLineChars="200"/>
        <w:rPr>
          <w:rFonts w:ascii="黑体" w:hAnsi="黑体" w:eastAsia="黑体" w:cs="黑体"/>
          <w:sz w:val="32"/>
          <w:szCs w:val="32"/>
        </w:rPr>
      </w:pPr>
    </w:p>
    <w:p w14:paraId="1EBB5E27">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4" w:name="_Toc203050031"/>
      <w:r>
        <w:rPr>
          <w:rFonts w:hint="eastAsia" w:ascii="Times New Roman" w:hAnsi="Times New Roman" w:eastAsia="黑体" w:cs="Times New Roman"/>
          <w:bCs w:val="0"/>
          <w:sz w:val="28"/>
          <w:szCs w:val="21"/>
        </w:rPr>
        <w:t>一、工作简况</w:t>
      </w:r>
      <w:bookmarkEnd w:id="4"/>
    </w:p>
    <w:p w14:paraId="1517BD09">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5" w:name="_Toc203050032"/>
      <w:r>
        <w:rPr>
          <w:rFonts w:ascii="Times New Roman" w:hAnsi="Times New Roman" w:eastAsia="黑体"/>
          <w:b w:val="0"/>
          <w:bCs/>
          <w:kern w:val="2"/>
          <w:sz w:val="28"/>
          <w:szCs w:val="28"/>
        </w:rPr>
        <w:t>（一）任务来源</w:t>
      </w:r>
      <w:bookmarkEnd w:id="5"/>
    </w:p>
    <w:p w14:paraId="4ABBC4F5">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2024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日，由自治区生态环境厅申请地方标准的立项，按照《自治区市场监管厅关于下达2024年地方标准制（修）订计划（第二批）的通知》，批准《天然放射性环境调查技术规范》地方标准的制（修）订，结合</w:t>
      </w:r>
      <w:r>
        <w:rPr>
          <w:rFonts w:ascii="仿宋_GB2312" w:hAnsi="仿宋_GB2312" w:eastAsia="仿宋_GB2312" w:cs="仿宋_GB2312"/>
          <w:sz w:val="28"/>
          <w:szCs w:val="28"/>
        </w:rPr>
        <w:t>放射性环境调查</w:t>
      </w:r>
      <w:r>
        <w:rPr>
          <w:rFonts w:hint="eastAsia" w:ascii="仿宋_GB2312" w:hAnsi="仿宋_GB2312" w:eastAsia="仿宋_GB2312" w:cs="仿宋_GB2312"/>
          <w:sz w:val="28"/>
          <w:szCs w:val="28"/>
        </w:rPr>
        <w:t>和监管需求的实际情况，编制《天然放射性环境调查技术规范》地方标准，标准由宁夏回族自治区生态环境厅提出并归口。</w:t>
      </w:r>
    </w:p>
    <w:p w14:paraId="207FB7CF">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6" w:name="_Toc203050033"/>
      <w:r>
        <w:rPr>
          <w:rFonts w:ascii="Times New Roman" w:hAnsi="Times New Roman" w:eastAsia="黑体"/>
          <w:b w:val="0"/>
          <w:bCs/>
          <w:kern w:val="2"/>
          <w:sz w:val="28"/>
          <w:szCs w:val="28"/>
        </w:rPr>
        <w:t>（二）起草单位</w:t>
      </w:r>
      <w:bookmarkEnd w:id="6"/>
    </w:p>
    <w:p w14:paraId="5EBB3AA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本标准项目主要承担单位：宁夏回族自治区核地质调查院</w:t>
      </w:r>
    </w:p>
    <w:p w14:paraId="4FC5997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协作单位：宁夏回族自治区核与辐射安全中心、宁夏回族自治区地质局、宁夏回族自治区国土资源调查监测院</w:t>
      </w:r>
    </w:p>
    <w:p w14:paraId="6A9E5089">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7" w:name="_Toc203050034"/>
      <w:r>
        <w:rPr>
          <w:rFonts w:ascii="Times New Roman" w:hAnsi="Times New Roman" w:eastAsia="黑体"/>
          <w:b w:val="0"/>
          <w:bCs/>
          <w:kern w:val="2"/>
          <w:sz w:val="28"/>
          <w:szCs w:val="28"/>
        </w:rPr>
        <w:t>（三）主要起草人员及任务分工</w:t>
      </w:r>
      <w:bookmarkEnd w:id="7"/>
    </w:p>
    <w:p w14:paraId="568488D6">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本标准主要起草人</w:t>
      </w:r>
      <w:r>
        <w:rPr>
          <w:rFonts w:hint="eastAsia" w:ascii="仿宋_GB2312" w:hAnsi="仿宋_GB2312" w:eastAsia="仿宋_GB2312" w:cs="仿宋_GB2312"/>
          <w:sz w:val="28"/>
          <w:szCs w:val="28"/>
        </w:rPr>
        <w:t>员</w:t>
      </w:r>
      <w:r>
        <w:rPr>
          <w:rFonts w:ascii="仿宋_GB2312" w:hAnsi="仿宋_GB2312" w:eastAsia="仿宋_GB2312" w:cs="仿宋_GB2312"/>
          <w:sz w:val="28"/>
          <w:szCs w:val="28"/>
        </w:rPr>
        <w:t>及任务分工见表1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p>
    <w:p w14:paraId="35825741">
      <w:pPr>
        <w:pStyle w:val="26"/>
        <w:rPr>
          <w:rFonts w:ascii="仿宋" w:hAnsi="仿宋"/>
          <w:color w:val="000000" w:themeColor="text1"/>
          <w:sz w:val="28"/>
          <w:szCs w:val="28"/>
          <w14:textFill>
            <w14:solidFill>
              <w14:schemeClr w14:val="tx1"/>
            </w14:solidFill>
          </w14:textFill>
        </w:rPr>
      </w:pPr>
      <w:r>
        <w:rPr>
          <w:rFonts w:ascii="仿宋" w:hAnsi="仿宋"/>
          <w:color w:val="000000" w:themeColor="text1"/>
          <w:sz w:val="28"/>
          <w:szCs w:val="28"/>
          <w14:textFill>
            <w14:solidFill>
              <w14:schemeClr w14:val="tx1"/>
            </w14:solidFill>
          </w14:textFill>
        </w:rPr>
        <w:t>表1</w:t>
      </w:r>
      <w:r>
        <w:rPr>
          <w:rFonts w:hint="eastAsia" w:ascii="仿宋" w:hAnsi="仿宋"/>
          <w:color w:val="000000" w:themeColor="text1"/>
          <w:sz w:val="28"/>
          <w:szCs w:val="28"/>
          <w14:textFill>
            <w14:solidFill>
              <w14:schemeClr w14:val="tx1"/>
            </w14:solidFill>
          </w14:textFill>
        </w:rPr>
        <w:t>-</w:t>
      </w:r>
      <w:r>
        <w:rPr>
          <w:rFonts w:ascii="仿宋" w:hAnsi="仿宋"/>
          <w:color w:val="000000" w:themeColor="text1"/>
          <w:sz w:val="28"/>
          <w:szCs w:val="28"/>
          <w14:textFill>
            <w14:solidFill>
              <w14:schemeClr w14:val="tx1"/>
            </w14:solidFill>
          </w14:textFill>
        </w:rPr>
        <w:t>1  主要起草人员及</w:t>
      </w:r>
      <w:r>
        <w:rPr>
          <w:rFonts w:hint="eastAsia" w:ascii="仿宋" w:hAnsi="仿宋"/>
          <w:color w:val="000000" w:themeColor="text1"/>
          <w:sz w:val="28"/>
          <w:szCs w:val="28"/>
          <w14:textFill>
            <w14:solidFill>
              <w14:schemeClr w14:val="tx1"/>
            </w14:solidFill>
          </w14:textFill>
        </w:rPr>
        <w:t>任务</w:t>
      </w:r>
      <w:r>
        <w:rPr>
          <w:rFonts w:ascii="仿宋" w:hAnsi="仿宋"/>
          <w:color w:val="000000" w:themeColor="text1"/>
          <w:sz w:val="28"/>
          <w:szCs w:val="28"/>
          <w14:textFill>
            <w14:solidFill>
              <w14:schemeClr w14:val="tx1"/>
            </w14:solidFill>
          </w14:textFill>
        </w:rPr>
        <w:t>分工表</w:t>
      </w:r>
    </w:p>
    <w:tbl>
      <w:tblPr>
        <w:tblStyle w:val="15"/>
        <w:tblW w:w="8683" w:type="dxa"/>
        <w:jc w:val="center"/>
        <w:tblLayout w:type="fixed"/>
        <w:tblCellMar>
          <w:top w:w="0" w:type="dxa"/>
          <w:left w:w="108" w:type="dxa"/>
          <w:bottom w:w="0" w:type="dxa"/>
          <w:right w:w="108" w:type="dxa"/>
        </w:tblCellMar>
      </w:tblPr>
      <w:tblGrid>
        <w:gridCol w:w="3591"/>
        <w:gridCol w:w="993"/>
        <w:gridCol w:w="992"/>
        <w:gridCol w:w="3107"/>
      </w:tblGrid>
      <w:tr w14:paraId="1C40703C">
        <w:tblPrEx>
          <w:tblCellMar>
            <w:top w:w="0" w:type="dxa"/>
            <w:left w:w="108" w:type="dxa"/>
            <w:bottom w:w="0" w:type="dxa"/>
            <w:right w:w="108" w:type="dxa"/>
          </w:tblCellMar>
        </w:tblPrEx>
        <w:trPr>
          <w:trHeight w:val="540" w:hRule="atLeast"/>
          <w:tblHeader/>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645A2676">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主要起草单位</w:t>
            </w:r>
          </w:p>
        </w:tc>
        <w:tc>
          <w:tcPr>
            <w:tcW w:w="993" w:type="dxa"/>
            <w:tcBorders>
              <w:top w:val="single" w:color="000000" w:sz="8" w:space="0"/>
              <w:left w:val="nil"/>
              <w:bottom w:val="single" w:color="000000" w:sz="8" w:space="0"/>
              <w:right w:val="single" w:color="000000" w:sz="8" w:space="0"/>
            </w:tcBorders>
            <w:vAlign w:val="center"/>
          </w:tcPr>
          <w:p w14:paraId="7182728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主要起草人员</w:t>
            </w:r>
          </w:p>
        </w:tc>
        <w:tc>
          <w:tcPr>
            <w:tcW w:w="992" w:type="dxa"/>
            <w:tcBorders>
              <w:top w:val="single" w:color="000000" w:sz="8" w:space="0"/>
              <w:left w:val="nil"/>
              <w:bottom w:val="single" w:color="000000" w:sz="8" w:space="0"/>
              <w:right w:val="single" w:color="000000" w:sz="8" w:space="0"/>
            </w:tcBorders>
            <w:vAlign w:val="center"/>
          </w:tcPr>
          <w:p w14:paraId="346F9F7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职称/职务</w:t>
            </w:r>
          </w:p>
        </w:tc>
        <w:tc>
          <w:tcPr>
            <w:tcW w:w="3107" w:type="dxa"/>
            <w:tcBorders>
              <w:top w:val="single" w:color="000000" w:sz="8" w:space="0"/>
              <w:left w:val="nil"/>
              <w:bottom w:val="single" w:color="000000" w:sz="8" w:space="0"/>
              <w:right w:val="single" w:color="000000" w:sz="8" w:space="0"/>
            </w:tcBorders>
            <w:vAlign w:val="center"/>
          </w:tcPr>
          <w:p w14:paraId="3944B78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任务分工</w:t>
            </w:r>
          </w:p>
        </w:tc>
      </w:tr>
      <w:tr w14:paraId="005E7F10">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6F1E734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7E386D0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潘进礼</w:t>
            </w:r>
          </w:p>
        </w:tc>
        <w:tc>
          <w:tcPr>
            <w:tcW w:w="992" w:type="dxa"/>
            <w:tcBorders>
              <w:top w:val="single" w:color="000000" w:sz="8" w:space="0"/>
              <w:left w:val="nil"/>
              <w:bottom w:val="single" w:color="000000" w:sz="8" w:space="0"/>
              <w:right w:val="single" w:color="000000" w:sz="8" w:space="0"/>
            </w:tcBorders>
            <w:vAlign w:val="center"/>
          </w:tcPr>
          <w:p w14:paraId="55BCE0BE">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正高职工程师/院长</w:t>
            </w:r>
          </w:p>
        </w:tc>
        <w:tc>
          <w:tcPr>
            <w:tcW w:w="3107" w:type="dxa"/>
            <w:tcBorders>
              <w:top w:val="single" w:color="000000" w:sz="8" w:space="0"/>
              <w:left w:val="nil"/>
              <w:bottom w:val="single" w:color="000000" w:sz="8" w:space="0"/>
              <w:right w:val="single" w:color="000000" w:sz="8" w:space="0"/>
            </w:tcBorders>
            <w:vAlign w:val="center"/>
          </w:tcPr>
          <w:p w14:paraId="4A06C272">
            <w:pPr>
              <w:pStyle w:val="27"/>
              <w:jc w:val="both"/>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组织厘定标准总体框架、结构和主要章节内容，组织开展调研和对重要问题的研讨、征求意见处理以及综合研究工作</w:t>
            </w:r>
          </w:p>
        </w:tc>
      </w:tr>
      <w:tr w14:paraId="164D7AD6">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443D2EA7">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7A338C17">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魏建成</w:t>
            </w:r>
          </w:p>
        </w:tc>
        <w:tc>
          <w:tcPr>
            <w:tcW w:w="992" w:type="dxa"/>
            <w:tcBorders>
              <w:top w:val="single" w:color="000000" w:sz="8" w:space="0"/>
              <w:left w:val="nil"/>
              <w:bottom w:val="single" w:color="000000" w:sz="8" w:space="0"/>
              <w:right w:val="single" w:color="000000" w:sz="8" w:space="0"/>
            </w:tcBorders>
            <w:vAlign w:val="center"/>
          </w:tcPr>
          <w:p w14:paraId="26924B43">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高级工程师/主任</w:t>
            </w:r>
          </w:p>
        </w:tc>
        <w:tc>
          <w:tcPr>
            <w:tcW w:w="3107" w:type="dxa"/>
            <w:tcBorders>
              <w:top w:val="single" w:color="000000" w:sz="8" w:space="0"/>
              <w:left w:val="nil"/>
              <w:bottom w:val="single" w:color="000000" w:sz="8" w:space="0"/>
              <w:right w:val="single" w:color="000000" w:sz="8" w:space="0"/>
            </w:tcBorders>
            <w:vAlign w:val="center"/>
          </w:tcPr>
          <w:p w14:paraId="555E1B63">
            <w:pPr>
              <w:pStyle w:val="27"/>
              <w:jc w:val="both"/>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编制标准起草实施方案，主持标准正文及编制说明的起草、编制、修改等</w:t>
            </w:r>
          </w:p>
        </w:tc>
      </w:tr>
      <w:tr w14:paraId="6D11C7AC">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356E1D5D">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5C694669">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周小平</w:t>
            </w:r>
          </w:p>
        </w:tc>
        <w:tc>
          <w:tcPr>
            <w:tcW w:w="992" w:type="dxa"/>
            <w:tcBorders>
              <w:top w:val="single" w:color="000000" w:sz="8" w:space="0"/>
              <w:left w:val="nil"/>
              <w:bottom w:val="single" w:color="000000" w:sz="8" w:space="0"/>
              <w:right w:val="single" w:color="000000" w:sz="8" w:space="0"/>
            </w:tcBorders>
            <w:vAlign w:val="center"/>
          </w:tcPr>
          <w:p w14:paraId="4DBF0AE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高级工程师/总工程师</w:t>
            </w:r>
          </w:p>
        </w:tc>
        <w:tc>
          <w:tcPr>
            <w:tcW w:w="3107" w:type="dxa"/>
            <w:tcBorders>
              <w:top w:val="single" w:color="000000" w:sz="8" w:space="0"/>
              <w:left w:val="nil"/>
              <w:bottom w:val="single" w:color="000000" w:sz="8" w:space="0"/>
              <w:right w:val="single" w:color="000000" w:sz="8" w:space="0"/>
            </w:tcBorders>
            <w:vAlign w:val="center"/>
          </w:tcPr>
          <w:p w14:paraId="35112052">
            <w:pP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国内外相关标准及政策资料收集、分析研判，标准正文及编制说明各章节的修改等</w:t>
            </w:r>
          </w:p>
        </w:tc>
      </w:tr>
      <w:tr w14:paraId="007E29C0">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5E26022D">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732E596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田少冲</w:t>
            </w:r>
          </w:p>
        </w:tc>
        <w:tc>
          <w:tcPr>
            <w:tcW w:w="992" w:type="dxa"/>
            <w:tcBorders>
              <w:top w:val="single" w:color="000000" w:sz="8" w:space="0"/>
              <w:left w:val="nil"/>
              <w:bottom w:val="single" w:color="000000" w:sz="8" w:space="0"/>
              <w:right w:val="single" w:color="000000" w:sz="8" w:space="0"/>
            </w:tcBorders>
            <w:vAlign w:val="center"/>
          </w:tcPr>
          <w:p w14:paraId="5427C0B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工程师/副主任</w:t>
            </w:r>
          </w:p>
        </w:tc>
        <w:tc>
          <w:tcPr>
            <w:tcW w:w="3107" w:type="dxa"/>
            <w:tcBorders>
              <w:top w:val="single" w:color="000000" w:sz="8" w:space="0"/>
              <w:left w:val="nil"/>
              <w:bottom w:val="single" w:color="000000" w:sz="8" w:space="0"/>
              <w:right w:val="single" w:color="000000" w:sz="8" w:space="0"/>
            </w:tcBorders>
            <w:vAlign w:val="center"/>
          </w:tcPr>
          <w:p w14:paraId="14183A38">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标准及编制说明主体内容起草，国内相关技术发展情况分析，标准正文及编制说明各章节的起草、修改等</w:t>
            </w:r>
          </w:p>
        </w:tc>
      </w:tr>
      <w:tr w14:paraId="582FF9CA">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2CFEDA5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480C27D6">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周秀红</w:t>
            </w:r>
          </w:p>
        </w:tc>
        <w:tc>
          <w:tcPr>
            <w:tcW w:w="992" w:type="dxa"/>
            <w:tcBorders>
              <w:top w:val="single" w:color="000000" w:sz="8" w:space="0"/>
              <w:left w:val="nil"/>
              <w:bottom w:val="single" w:color="000000" w:sz="8" w:space="0"/>
              <w:right w:val="single" w:color="000000" w:sz="8" w:space="0"/>
            </w:tcBorders>
            <w:vAlign w:val="center"/>
          </w:tcPr>
          <w:p w14:paraId="1561058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461CC149">
            <w:pP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标准正文及编制说明各章节的内部审核</w:t>
            </w:r>
          </w:p>
        </w:tc>
      </w:tr>
      <w:tr w14:paraId="164FBE66">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24A8508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682738B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蒋莉莉</w:t>
            </w:r>
          </w:p>
        </w:tc>
        <w:tc>
          <w:tcPr>
            <w:tcW w:w="992" w:type="dxa"/>
            <w:tcBorders>
              <w:top w:val="single" w:color="000000" w:sz="8" w:space="0"/>
              <w:left w:val="nil"/>
              <w:bottom w:val="single" w:color="000000" w:sz="8" w:space="0"/>
              <w:right w:val="single" w:color="000000" w:sz="8" w:space="0"/>
            </w:tcBorders>
            <w:vAlign w:val="center"/>
          </w:tcPr>
          <w:p w14:paraId="43B6C7BA">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主任科员</w:t>
            </w:r>
          </w:p>
        </w:tc>
        <w:tc>
          <w:tcPr>
            <w:tcW w:w="3107" w:type="dxa"/>
            <w:tcBorders>
              <w:top w:val="single" w:color="000000" w:sz="8" w:space="0"/>
              <w:left w:val="nil"/>
              <w:bottom w:val="single" w:color="000000" w:sz="8" w:space="0"/>
              <w:right w:val="single" w:color="000000" w:sz="8" w:space="0"/>
            </w:tcBorders>
            <w:vAlign w:val="center"/>
          </w:tcPr>
          <w:p w14:paraId="5618F3D9">
            <w:pP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国内外相关标准及政策资料收集、分析研判</w:t>
            </w:r>
          </w:p>
        </w:tc>
      </w:tr>
      <w:tr w14:paraId="2C0C5C24">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22F5D50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4BF91E24">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高立鹏</w:t>
            </w:r>
          </w:p>
        </w:tc>
        <w:tc>
          <w:tcPr>
            <w:tcW w:w="992" w:type="dxa"/>
            <w:tcBorders>
              <w:top w:val="single" w:color="000000" w:sz="8" w:space="0"/>
              <w:left w:val="nil"/>
              <w:bottom w:val="single" w:color="000000" w:sz="8" w:space="0"/>
              <w:right w:val="single" w:color="000000" w:sz="8" w:space="0"/>
            </w:tcBorders>
            <w:vAlign w:val="center"/>
          </w:tcPr>
          <w:p w14:paraId="2F062D4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1B050E90">
            <w:pP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参与标准研究，资料收集和政策分析，标准正文第4、6、7、8、10章节和编制说明的起草、修改、试验等</w:t>
            </w:r>
          </w:p>
        </w:tc>
      </w:tr>
      <w:tr w14:paraId="70D01CE7">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6CCA046B">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1D186F97">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卢小瑞</w:t>
            </w:r>
          </w:p>
        </w:tc>
        <w:tc>
          <w:tcPr>
            <w:tcW w:w="992" w:type="dxa"/>
            <w:tcBorders>
              <w:top w:val="single" w:color="000000" w:sz="8" w:space="0"/>
              <w:left w:val="nil"/>
              <w:bottom w:val="single" w:color="000000" w:sz="8" w:space="0"/>
              <w:right w:val="single" w:color="000000" w:sz="8" w:space="0"/>
            </w:tcBorders>
            <w:vAlign w:val="center"/>
          </w:tcPr>
          <w:p w14:paraId="4D7DC1DB">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6C82CBC4">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参与标准研究，资料收集和政策分析，标准正文第4、7、8、10章节和编制说明的起草、修改、试验等</w:t>
            </w:r>
          </w:p>
        </w:tc>
      </w:tr>
      <w:tr w14:paraId="0742D2A0">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7AF1D01C">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29C9CEAA">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周  波</w:t>
            </w:r>
          </w:p>
        </w:tc>
        <w:tc>
          <w:tcPr>
            <w:tcW w:w="992" w:type="dxa"/>
            <w:tcBorders>
              <w:top w:val="single" w:color="000000" w:sz="8" w:space="0"/>
              <w:left w:val="nil"/>
              <w:bottom w:val="single" w:color="000000" w:sz="8" w:space="0"/>
              <w:right w:val="single" w:color="000000" w:sz="8" w:space="0"/>
            </w:tcBorders>
            <w:vAlign w:val="center"/>
          </w:tcPr>
          <w:p w14:paraId="3E0A196A">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247DC031">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参与标准研究，资料收集和政策分析，标准正文第6、7章节和编制说明的起草、修改、试验等</w:t>
            </w:r>
          </w:p>
        </w:tc>
      </w:tr>
      <w:tr w14:paraId="0BE1E692">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2996E7CB">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宁夏回族自治区核与辐射安全中心</w:t>
            </w:r>
          </w:p>
        </w:tc>
        <w:tc>
          <w:tcPr>
            <w:tcW w:w="993" w:type="dxa"/>
            <w:tcBorders>
              <w:top w:val="single" w:color="000000" w:sz="8" w:space="0"/>
              <w:left w:val="nil"/>
              <w:bottom w:val="single" w:color="000000" w:sz="8" w:space="0"/>
              <w:right w:val="single" w:color="000000" w:sz="8" w:space="0"/>
            </w:tcBorders>
            <w:vAlign w:val="center"/>
          </w:tcPr>
          <w:p w14:paraId="1D471BE8">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周  涛</w:t>
            </w:r>
          </w:p>
        </w:tc>
        <w:tc>
          <w:tcPr>
            <w:tcW w:w="992" w:type="dxa"/>
            <w:tcBorders>
              <w:top w:val="single" w:color="000000" w:sz="8" w:space="0"/>
              <w:left w:val="nil"/>
              <w:bottom w:val="single" w:color="000000" w:sz="8" w:space="0"/>
              <w:right w:val="single" w:color="000000" w:sz="8" w:space="0"/>
            </w:tcBorders>
            <w:vAlign w:val="center"/>
          </w:tcPr>
          <w:p w14:paraId="4C065FDC">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2B9846D3">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参与标准研究，资料收集和政策分析，标准正文第4、7、8章节和编制说明的起草、修改、试验等</w:t>
            </w:r>
          </w:p>
        </w:tc>
      </w:tr>
      <w:tr w14:paraId="7C59BB29">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4555F81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0E1CA17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席建建</w:t>
            </w:r>
          </w:p>
        </w:tc>
        <w:tc>
          <w:tcPr>
            <w:tcW w:w="992" w:type="dxa"/>
            <w:tcBorders>
              <w:top w:val="single" w:color="000000" w:sz="8" w:space="0"/>
              <w:left w:val="nil"/>
              <w:bottom w:val="single" w:color="000000" w:sz="8" w:space="0"/>
              <w:right w:val="single" w:color="000000" w:sz="8" w:space="0"/>
            </w:tcBorders>
            <w:vAlign w:val="center"/>
          </w:tcPr>
          <w:p w14:paraId="7B6A4044">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36307733">
            <w:pP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标准正文及编制说明各章节的起草、修改等</w:t>
            </w:r>
          </w:p>
        </w:tc>
      </w:tr>
      <w:tr w14:paraId="0F59F67E">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7457215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4DA5F5B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王海波</w:t>
            </w:r>
          </w:p>
        </w:tc>
        <w:tc>
          <w:tcPr>
            <w:tcW w:w="992" w:type="dxa"/>
            <w:tcBorders>
              <w:top w:val="single" w:color="000000" w:sz="8" w:space="0"/>
              <w:left w:val="nil"/>
              <w:bottom w:val="single" w:color="000000" w:sz="8" w:space="0"/>
              <w:right w:val="single" w:color="000000" w:sz="8" w:space="0"/>
            </w:tcBorders>
            <w:vAlign w:val="center"/>
          </w:tcPr>
          <w:p w14:paraId="72CF7C69">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1CE4C4AE">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国内外相关标准及政策资料收集、分析研判</w:t>
            </w:r>
          </w:p>
        </w:tc>
      </w:tr>
      <w:tr w14:paraId="6503A72E">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09520ADB">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2B77273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李  园</w:t>
            </w:r>
          </w:p>
        </w:tc>
        <w:tc>
          <w:tcPr>
            <w:tcW w:w="992" w:type="dxa"/>
            <w:tcBorders>
              <w:top w:val="single" w:color="000000" w:sz="8" w:space="0"/>
              <w:left w:val="nil"/>
              <w:bottom w:val="single" w:color="000000" w:sz="8" w:space="0"/>
              <w:right w:val="single" w:color="000000" w:sz="8" w:space="0"/>
            </w:tcBorders>
            <w:vAlign w:val="center"/>
          </w:tcPr>
          <w:p w14:paraId="152715B0">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1777ABB9">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国内外相关标准及政策资料收集、分析研判</w:t>
            </w:r>
          </w:p>
        </w:tc>
      </w:tr>
      <w:tr w14:paraId="26C7948D">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58317AC8">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7D403A25">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王  赕</w:t>
            </w:r>
          </w:p>
        </w:tc>
        <w:tc>
          <w:tcPr>
            <w:tcW w:w="992" w:type="dxa"/>
            <w:tcBorders>
              <w:top w:val="single" w:color="000000" w:sz="8" w:space="0"/>
              <w:left w:val="nil"/>
              <w:bottom w:val="single" w:color="000000" w:sz="8" w:space="0"/>
              <w:right w:val="single" w:color="000000" w:sz="8" w:space="0"/>
            </w:tcBorders>
            <w:vAlign w:val="center"/>
          </w:tcPr>
          <w:p w14:paraId="2403A86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3B618211">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参与资料收集、试验等相关工作。</w:t>
            </w:r>
          </w:p>
        </w:tc>
      </w:tr>
      <w:tr w14:paraId="5F480C05">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519ABEE9">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389ADABE">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窦志娟</w:t>
            </w:r>
          </w:p>
        </w:tc>
        <w:tc>
          <w:tcPr>
            <w:tcW w:w="992" w:type="dxa"/>
            <w:tcBorders>
              <w:top w:val="single" w:color="000000" w:sz="8" w:space="0"/>
              <w:left w:val="nil"/>
              <w:bottom w:val="single" w:color="000000" w:sz="8" w:space="0"/>
              <w:right w:val="single" w:color="000000" w:sz="8" w:space="0"/>
            </w:tcBorders>
            <w:vAlign w:val="center"/>
          </w:tcPr>
          <w:p w14:paraId="27C68CA8">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070ED683">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参与资料收集、试验等相关工作。</w:t>
            </w:r>
          </w:p>
        </w:tc>
      </w:tr>
      <w:tr w14:paraId="321D4648">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6A02110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宁夏回族自治区核地质调查院</w:t>
            </w:r>
          </w:p>
        </w:tc>
        <w:tc>
          <w:tcPr>
            <w:tcW w:w="993" w:type="dxa"/>
            <w:tcBorders>
              <w:top w:val="single" w:color="000000" w:sz="8" w:space="0"/>
              <w:left w:val="nil"/>
              <w:bottom w:val="single" w:color="000000" w:sz="8" w:space="0"/>
              <w:right w:val="single" w:color="000000" w:sz="8" w:space="0"/>
            </w:tcBorders>
            <w:vAlign w:val="center"/>
          </w:tcPr>
          <w:p w14:paraId="6C53307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赵德才</w:t>
            </w:r>
          </w:p>
        </w:tc>
        <w:tc>
          <w:tcPr>
            <w:tcW w:w="992" w:type="dxa"/>
            <w:tcBorders>
              <w:top w:val="single" w:color="000000" w:sz="8" w:space="0"/>
              <w:left w:val="nil"/>
              <w:bottom w:val="single" w:color="000000" w:sz="8" w:space="0"/>
              <w:right w:val="single" w:color="000000" w:sz="8" w:space="0"/>
            </w:tcBorders>
            <w:vAlign w:val="center"/>
          </w:tcPr>
          <w:p w14:paraId="4E786FDF">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高级工程师</w:t>
            </w:r>
          </w:p>
        </w:tc>
        <w:tc>
          <w:tcPr>
            <w:tcW w:w="3107" w:type="dxa"/>
            <w:tcBorders>
              <w:top w:val="single" w:color="000000" w:sz="8" w:space="0"/>
              <w:left w:val="nil"/>
              <w:bottom w:val="single" w:color="000000" w:sz="8" w:space="0"/>
              <w:right w:val="single" w:color="000000" w:sz="8" w:space="0"/>
            </w:tcBorders>
            <w:vAlign w:val="center"/>
          </w:tcPr>
          <w:p w14:paraId="7D68A20A">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参与资料收集、试验等相关工作。</w:t>
            </w:r>
          </w:p>
        </w:tc>
      </w:tr>
      <w:tr w14:paraId="72F4C047">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281DFA5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宁夏回族自治区地质局</w:t>
            </w:r>
          </w:p>
        </w:tc>
        <w:tc>
          <w:tcPr>
            <w:tcW w:w="993" w:type="dxa"/>
            <w:tcBorders>
              <w:top w:val="single" w:color="000000" w:sz="8" w:space="0"/>
              <w:left w:val="nil"/>
              <w:bottom w:val="single" w:color="000000" w:sz="8" w:space="0"/>
              <w:right w:val="single" w:color="000000" w:sz="8" w:space="0"/>
            </w:tcBorders>
            <w:vAlign w:val="center"/>
          </w:tcPr>
          <w:p w14:paraId="2118DE2E">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景生权</w:t>
            </w:r>
          </w:p>
        </w:tc>
        <w:tc>
          <w:tcPr>
            <w:tcW w:w="992" w:type="dxa"/>
            <w:tcBorders>
              <w:top w:val="single" w:color="000000" w:sz="8" w:space="0"/>
              <w:left w:val="nil"/>
              <w:bottom w:val="single" w:color="000000" w:sz="8" w:space="0"/>
              <w:right w:val="single" w:color="000000" w:sz="8" w:space="0"/>
            </w:tcBorders>
            <w:vAlign w:val="center"/>
          </w:tcPr>
          <w:p w14:paraId="52103BA3">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53CCCD81">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参与资料收集、分析研判，各章节修改等</w:t>
            </w:r>
          </w:p>
        </w:tc>
      </w:tr>
      <w:tr w14:paraId="6EF9C05C">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32814BA5">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宁夏回族自治区国土资源调查监测院</w:t>
            </w:r>
          </w:p>
        </w:tc>
        <w:tc>
          <w:tcPr>
            <w:tcW w:w="993" w:type="dxa"/>
            <w:tcBorders>
              <w:top w:val="single" w:color="000000" w:sz="8" w:space="0"/>
              <w:left w:val="nil"/>
              <w:bottom w:val="single" w:color="000000" w:sz="8" w:space="0"/>
              <w:right w:val="single" w:color="000000" w:sz="8" w:space="0"/>
            </w:tcBorders>
            <w:vAlign w:val="center"/>
          </w:tcPr>
          <w:p w14:paraId="253FC97E">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姚  舜</w:t>
            </w:r>
          </w:p>
        </w:tc>
        <w:tc>
          <w:tcPr>
            <w:tcW w:w="992" w:type="dxa"/>
            <w:tcBorders>
              <w:top w:val="single" w:color="000000" w:sz="8" w:space="0"/>
              <w:left w:val="nil"/>
              <w:bottom w:val="single" w:color="000000" w:sz="8" w:space="0"/>
              <w:right w:val="single" w:color="000000" w:sz="8" w:space="0"/>
            </w:tcBorders>
            <w:vAlign w:val="center"/>
          </w:tcPr>
          <w:p w14:paraId="1B21A45E">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vAlign w:val="center"/>
          </w:tcPr>
          <w:p w14:paraId="74AB6976">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参与资料收集，编制说明修改等</w:t>
            </w:r>
          </w:p>
        </w:tc>
      </w:tr>
      <w:tr w14:paraId="59227F84">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7E558A38">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宁夏回族自治区国土资源调查监测院</w:t>
            </w:r>
          </w:p>
        </w:tc>
        <w:tc>
          <w:tcPr>
            <w:tcW w:w="993" w:type="dxa"/>
            <w:tcBorders>
              <w:top w:val="single" w:color="000000" w:sz="8" w:space="0"/>
              <w:left w:val="nil"/>
              <w:bottom w:val="single" w:color="000000" w:sz="8" w:space="0"/>
              <w:right w:val="single" w:color="000000" w:sz="8" w:space="0"/>
            </w:tcBorders>
            <w:vAlign w:val="center"/>
          </w:tcPr>
          <w:p w14:paraId="32A48FD7">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马贵林</w:t>
            </w:r>
          </w:p>
        </w:tc>
        <w:tc>
          <w:tcPr>
            <w:tcW w:w="992" w:type="dxa"/>
            <w:tcBorders>
              <w:top w:val="single" w:color="000000" w:sz="8" w:space="0"/>
              <w:left w:val="nil"/>
              <w:bottom w:val="single" w:color="000000" w:sz="8" w:space="0"/>
              <w:right w:val="single" w:color="000000" w:sz="8" w:space="0"/>
            </w:tcBorders>
            <w:vAlign w:val="center"/>
          </w:tcPr>
          <w:p w14:paraId="6E2EEA91">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tcPr>
          <w:p w14:paraId="18E9B71D">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参与资料收集，编制说明修改等</w:t>
            </w:r>
          </w:p>
        </w:tc>
      </w:tr>
      <w:tr w14:paraId="7C910422">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1B82DCB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宁夏回族自治区国土资源调查监测院</w:t>
            </w:r>
          </w:p>
        </w:tc>
        <w:tc>
          <w:tcPr>
            <w:tcW w:w="993" w:type="dxa"/>
            <w:tcBorders>
              <w:top w:val="single" w:color="000000" w:sz="8" w:space="0"/>
              <w:left w:val="nil"/>
              <w:bottom w:val="single" w:color="000000" w:sz="8" w:space="0"/>
              <w:right w:val="single" w:color="000000" w:sz="8" w:space="0"/>
            </w:tcBorders>
            <w:vAlign w:val="center"/>
          </w:tcPr>
          <w:p w14:paraId="0659682B">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杨朔鹏</w:t>
            </w:r>
          </w:p>
        </w:tc>
        <w:tc>
          <w:tcPr>
            <w:tcW w:w="992" w:type="dxa"/>
            <w:tcBorders>
              <w:top w:val="single" w:color="000000" w:sz="8" w:space="0"/>
              <w:left w:val="nil"/>
              <w:bottom w:val="single" w:color="000000" w:sz="8" w:space="0"/>
              <w:right w:val="single" w:color="000000" w:sz="8" w:space="0"/>
            </w:tcBorders>
            <w:vAlign w:val="center"/>
          </w:tcPr>
          <w:p w14:paraId="2EFDE262">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tcPr>
          <w:p w14:paraId="5CE29C3F">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参与资料收集，编制说明修改等</w:t>
            </w:r>
          </w:p>
        </w:tc>
      </w:tr>
      <w:tr w14:paraId="33FA0FA8">
        <w:tblPrEx>
          <w:tblCellMar>
            <w:top w:w="0" w:type="dxa"/>
            <w:left w:w="108" w:type="dxa"/>
            <w:bottom w:w="0" w:type="dxa"/>
            <w:right w:w="108" w:type="dxa"/>
          </w:tblCellMar>
        </w:tblPrEx>
        <w:trPr>
          <w:trHeight w:val="419" w:hRule="atLeast"/>
          <w:jc w:val="center"/>
        </w:trPr>
        <w:tc>
          <w:tcPr>
            <w:tcW w:w="3591" w:type="dxa"/>
            <w:tcBorders>
              <w:top w:val="single" w:color="000000" w:sz="8" w:space="0"/>
              <w:left w:val="single" w:color="000000" w:sz="8" w:space="0"/>
              <w:bottom w:val="single" w:color="000000" w:sz="8" w:space="0"/>
              <w:right w:val="single" w:color="000000" w:sz="8" w:space="0"/>
            </w:tcBorders>
            <w:vAlign w:val="center"/>
          </w:tcPr>
          <w:p w14:paraId="62589817">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宁夏回族自治区国土资源调查监测院</w:t>
            </w:r>
          </w:p>
        </w:tc>
        <w:tc>
          <w:tcPr>
            <w:tcW w:w="993" w:type="dxa"/>
            <w:tcBorders>
              <w:top w:val="single" w:color="000000" w:sz="8" w:space="0"/>
              <w:left w:val="nil"/>
              <w:bottom w:val="single" w:color="000000" w:sz="8" w:space="0"/>
              <w:right w:val="single" w:color="000000" w:sz="8" w:space="0"/>
            </w:tcBorders>
            <w:vAlign w:val="center"/>
          </w:tcPr>
          <w:p w14:paraId="7BCFA16A">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马海源</w:t>
            </w:r>
          </w:p>
        </w:tc>
        <w:tc>
          <w:tcPr>
            <w:tcW w:w="992" w:type="dxa"/>
            <w:tcBorders>
              <w:top w:val="single" w:color="000000" w:sz="8" w:space="0"/>
              <w:left w:val="nil"/>
              <w:bottom w:val="single" w:color="000000" w:sz="8" w:space="0"/>
              <w:right w:val="single" w:color="000000" w:sz="8" w:space="0"/>
            </w:tcBorders>
            <w:vAlign w:val="center"/>
          </w:tcPr>
          <w:p w14:paraId="67705166">
            <w:pPr>
              <w:pStyle w:val="27"/>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工程师</w:t>
            </w:r>
          </w:p>
        </w:tc>
        <w:tc>
          <w:tcPr>
            <w:tcW w:w="3107" w:type="dxa"/>
            <w:tcBorders>
              <w:top w:val="single" w:color="000000" w:sz="8" w:space="0"/>
              <w:left w:val="nil"/>
              <w:bottom w:val="single" w:color="000000" w:sz="8" w:space="0"/>
              <w:right w:val="single" w:color="000000" w:sz="8" w:space="0"/>
            </w:tcBorders>
          </w:tcPr>
          <w:p w14:paraId="5AEF937D">
            <w:pPr>
              <w:rPr>
                <w:rFonts w:ascii="仿宋_GB2312" w:eastAsia="仿宋_GB2312"/>
                <w:szCs w:val="21"/>
              </w:rPr>
            </w:pPr>
            <w:r>
              <w:rPr>
                <w:rFonts w:hint="eastAsia" w:ascii="仿宋_GB2312" w:hAnsi="仿宋" w:eastAsia="仿宋_GB2312" w:cs="Times New Roman"/>
                <w:color w:val="000000" w:themeColor="text1"/>
                <w:kern w:val="0"/>
                <w:szCs w:val="21"/>
                <w14:textFill>
                  <w14:solidFill>
                    <w14:schemeClr w14:val="tx1"/>
                  </w14:solidFill>
                </w14:textFill>
              </w:rPr>
              <w:t>参与资料收集，编制说明修改等</w:t>
            </w:r>
          </w:p>
        </w:tc>
      </w:tr>
    </w:tbl>
    <w:p w14:paraId="3953FCCE">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8" w:name="_Toc203050035"/>
      <w:r>
        <w:rPr>
          <w:rFonts w:hint="eastAsia" w:ascii="Times New Roman" w:hAnsi="Times New Roman" w:eastAsia="黑体" w:cs="Times New Roman"/>
          <w:bCs w:val="0"/>
          <w:sz w:val="28"/>
          <w:szCs w:val="21"/>
        </w:rPr>
        <w:t>二</w:t>
      </w:r>
      <w:r>
        <w:rPr>
          <w:rFonts w:ascii="Times New Roman" w:hAnsi="Times New Roman" w:eastAsia="黑体" w:cs="Times New Roman"/>
          <w:bCs w:val="0"/>
          <w:sz w:val="28"/>
          <w:szCs w:val="21"/>
        </w:rPr>
        <w:t>、制定标准的必要性和意义</w:t>
      </w:r>
      <w:bookmarkEnd w:id="8"/>
    </w:p>
    <w:p w14:paraId="66164D5D">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9" w:name="_Toc199516609"/>
      <w:bookmarkStart w:id="10" w:name="_Toc203050036"/>
      <w:r>
        <w:rPr>
          <w:rFonts w:ascii="Times New Roman" w:hAnsi="Times New Roman" w:eastAsia="黑体"/>
          <w:b w:val="0"/>
          <w:bCs/>
          <w:kern w:val="2"/>
          <w:sz w:val="28"/>
          <w:szCs w:val="28"/>
        </w:rPr>
        <w:t>（一）</w:t>
      </w:r>
      <w:bookmarkEnd w:id="9"/>
      <w:r>
        <w:rPr>
          <w:rFonts w:ascii="Times New Roman" w:hAnsi="Times New Roman" w:eastAsia="黑体"/>
          <w:b w:val="0"/>
          <w:bCs/>
          <w:kern w:val="2"/>
          <w:sz w:val="28"/>
          <w:szCs w:val="28"/>
        </w:rPr>
        <w:t>落实法律法规要求，助力生态环境监测和评价</w:t>
      </w:r>
      <w:bookmarkEnd w:id="10"/>
    </w:p>
    <w:p w14:paraId="15EB921E">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 xml:space="preserve">《中华人民共和国环境保护法》规定“省级以上人民政府应当组织有关部门或者委托专业机构，对环境状况进行调查、评价，建立环境资源承载能力监测预警机制。加强对大气、水、土壤等的保护，建立和完善相应的调查、监测、评估和修复制度。”《中华人民共和国环境影响评价法》强调“加强环境影响评价的基础数据库和评价指标体系建设……提高环境影响评价的科学性。”《环境监测管理办法》要求“环境监测工作是县级以上环境保护部门的法定职责。……省级环境保护部门对国家环境监测技术规范未作规定的项目，可以制定地方环境监测技术规范，并报国家环境保护总局备案。” </w:t>
      </w:r>
    </w:p>
    <w:p w14:paraId="4907BD50">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天然放射性环境调查是通过系统布点检测、采样与实验室分析工作，掌握环境介质中的放射性基础底数和变化特征，是生态环境领域一项重要的基础工作，可以为辐射环境的监测和评价提供技术支持。</w:t>
      </w:r>
    </w:p>
    <w:p w14:paraId="2C9340E0">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1" w:name="_Toc203050037"/>
      <w:r>
        <w:rPr>
          <w:rFonts w:ascii="Times New Roman" w:hAnsi="Times New Roman" w:eastAsia="黑体"/>
          <w:b w:val="0"/>
          <w:bCs/>
          <w:kern w:val="2"/>
          <w:sz w:val="28"/>
          <w:szCs w:val="28"/>
        </w:rPr>
        <w:t>（二）适应新发展形势，保障区域辐射环境安全与经济发展</w:t>
      </w:r>
      <w:bookmarkEnd w:id="11"/>
    </w:p>
    <w:p w14:paraId="4C18F0BE">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自治区党委十三届五次全会通过的《关于深入学习贯彻习近平总书记重要讲话精神全面推进新征程生态文明建设加快建设美丽宁夏的意见》明确指出要加强核与辐射安全监管。</w:t>
      </w:r>
    </w:p>
    <w:p w14:paraId="73D88688">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截止2024年，宁夏境内探明多处铀矿及铀矿化点，全区伴生放射性矿利用企业2家，开展天然放射性环境调查，有助于掌握宁夏环境天然放射性水平分布及特征、发现人为活动对环境放射性的影响，为辐射环境质量评价、辐射环境相关标准的制定工作提供参考依据，对保障区域辐射环境安全具有重要意义。</w:t>
      </w:r>
    </w:p>
    <w:p w14:paraId="4A29DE48">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同时，天然放射性环境调查还能为矿产资源勘探与开发、国土空间规划与工程选址等工作提供数据支撑，助力自治区经济社会发展。</w:t>
      </w:r>
    </w:p>
    <w:p w14:paraId="5D8BEFD7">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2" w:name="_Toc203050038"/>
      <w:r>
        <w:rPr>
          <w:rFonts w:ascii="Times New Roman" w:hAnsi="Times New Roman" w:eastAsia="黑体"/>
          <w:b w:val="0"/>
          <w:bCs/>
          <w:kern w:val="2"/>
          <w:sz w:val="28"/>
          <w:szCs w:val="28"/>
        </w:rPr>
        <w:t>（三）缩小与先进省市在辐射环境调查工作方面的差距</w:t>
      </w:r>
      <w:bookmarkEnd w:id="12"/>
    </w:p>
    <w:p w14:paraId="5C8AB2EB">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我国部分省市在不同时期，根据当地经济社会发展需要，相继开展了天然放射性环境调查工作，积累一定的工作经验。如：《青岛市区辐射环境质量评价研究（2006）》《成都经济区天然放射性环境评价（2009）》《南通市土壤放射性环境本底调查（2013）》《包头市城区环境放射性水平评估研究（2015）》《大连市天然放射性辐射环境调查评价研究（2018）》《北海涠洲岛放射性水平现状调查与评估（2021）》《“海澄文定”地区放射性地质环境调查（海口、文昌、澄迈、定安2020-2024）》等工作，重新查明了相关地区的辐射环境现状，科学评价了辐射环境质量，为相关地区进行辐射环境监管提供了环境天然辐射的科学依据，为公众提供了充分可信的辐射环境信息，对当地环境保护、国土空间规划、生态旅游等能够起到积极的促进作用。一些省份积极做好谋划准备，如湖南省将一湖四水流域天然放射性生态环境调查评价作为重大工程列入《湖南省核安全与辐射环境污染防治“十四五”规划》积极推动。</w:t>
      </w:r>
    </w:p>
    <w:p w14:paraId="070A10EE">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这些省市为宁夏开展天然放射性环境调查提供了宝贵的经验，</w:t>
      </w:r>
      <w:r>
        <w:rPr>
          <w:rFonts w:hint="eastAsia" w:ascii="仿宋_GB2312" w:hAnsi="仿宋" w:eastAsia="仿宋_GB2312" w:cs="仿宋_GB2312"/>
          <w:sz w:val="28"/>
          <w:szCs w:val="28"/>
        </w:rPr>
        <w:t>因此结合区域特点，制定符合宁夏实际的天然放射性环境调查技术规范成为当务之急。</w:t>
      </w:r>
    </w:p>
    <w:p w14:paraId="28382506">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3" w:name="_Toc199516610"/>
      <w:bookmarkStart w:id="14" w:name="_Toc203050039"/>
      <w:r>
        <w:rPr>
          <w:rFonts w:ascii="Times New Roman" w:hAnsi="Times New Roman" w:eastAsia="黑体"/>
          <w:b w:val="0"/>
          <w:bCs/>
          <w:kern w:val="2"/>
          <w:sz w:val="28"/>
          <w:szCs w:val="28"/>
        </w:rPr>
        <w:t>（四）</w:t>
      </w:r>
      <w:bookmarkEnd w:id="13"/>
      <w:r>
        <w:rPr>
          <w:rFonts w:ascii="Times New Roman" w:hAnsi="Times New Roman" w:eastAsia="黑体"/>
          <w:b w:val="0"/>
          <w:bCs/>
          <w:kern w:val="2"/>
          <w:sz w:val="28"/>
          <w:szCs w:val="28"/>
        </w:rPr>
        <w:t>填补标准空缺，统一技术方法</w:t>
      </w:r>
      <w:bookmarkEnd w:id="14"/>
    </w:p>
    <w:p w14:paraId="3FE0EF0B">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我国于1983-1990开展了全国第一次环境天然放射性水平调查，距今近40年，历史数据已难以准确反映当前辐射环境本底水平。近年来，全区相关单位根据自治区经济社会发展需要，开展了多项放射性环境调查工作。从全国及地方层面来看，截止目前尚未有国家或行业部门正式颁布的天然放射性环境调查规范或技术要求。原国家环境保护局1986年发布了《环境天然放射性水平调查规定》，但是仅适用于全国第一次环境天然放射性水平调查。</w:t>
      </w:r>
    </w:p>
    <w:p w14:paraId="27DD5B9C">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生态环境部2021年修订的HJ 61《辐射环境监测技术规范》，主要对辐射环境质量监测、辐射源环境监测做出规定，对调查工作未作出详细规定。由于缺乏标准，导致各单位之间、调查项目之间执行标准不统一，多处于边实施边摸索的状态，产生的成果质量参差不齐，难以有效服务自治区社会经济发展。</w:t>
      </w:r>
    </w:p>
    <w:p w14:paraId="62224DFC">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综合前述分析，放射性环境作为生态环境的主要组成部分，是生态文明建设不可或缺的要素，掌握区域环境天然放射性水平的现状与特征，是生态安全的重要保障，与经济社会发展及人民生活质量之间存在着紧密的联系，所以有必要开展天然放射性环境调查工作。</w:t>
      </w:r>
    </w:p>
    <w:p w14:paraId="15832221">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通过规范调查工作流程，确保技术方法统一，保证数据的权威性和适用性，填补自治区在该领域的空白，为后续的辐射环境质量评价、辐射环境相关标准制定工作等提供科学依据。</w:t>
      </w:r>
    </w:p>
    <w:p w14:paraId="25AD324E">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15" w:name="_Toc203050040"/>
      <w:r>
        <w:rPr>
          <w:rFonts w:hint="eastAsia" w:ascii="Times New Roman" w:hAnsi="Times New Roman" w:eastAsia="黑体" w:cs="Times New Roman"/>
          <w:bCs w:val="0"/>
          <w:sz w:val="28"/>
          <w:szCs w:val="21"/>
        </w:rPr>
        <w:t>三</w:t>
      </w:r>
      <w:r>
        <w:rPr>
          <w:rFonts w:ascii="Times New Roman" w:hAnsi="Times New Roman" w:eastAsia="黑体" w:cs="Times New Roman"/>
          <w:bCs w:val="0"/>
          <w:sz w:val="28"/>
          <w:szCs w:val="21"/>
        </w:rPr>
        <w:t>、</w:t>
      </w:r>
      <w:r>
        <w:rPr>
          <w:rFonts w:hint="eastAsia" w:ascii="Times New Roman" w:hAnsi="Times New Roman" w:eastAsia="黑体" w:cs="Times New Roman"/>
          <w:bCs w:val="0"/>
          <w:sz w:val="28"/>
          <w:szCs w:val="21"/>
        </w:rPr>
        <w:t>主要起草过程</w:t>
      </w:r>
      <w:bookmarkEnd w:id="15"/>
    </w:p>
    <w:p w14:paraId="5563566B">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6" w:name="_Toc203050041"/>
      <w:r>
        <w:rPr>
          <w:rFonts w:ascii="Times New Roman" w:hAnsi="Times New Roman" w:eastAsia="黑体"/>
          <w:b w:val="0"/>
          <w:bCs/>
          <w:kern w:val="2"/>
          <w:sz w:val="28"/>
          <w:szCs w:val="28"/>
        </w:rPr>
        <w:t>（一）成立起草组、确定分工</w:t>
      </w:r>
      <w:bookmarkEnd w:id="16"/>
    </w:p>
    <w:p w14:paraId="5EF7364A">
      <w:pPr>
        <w:spacing w:line="560" w:lineRule="exact"/>
        <w:ind w:firstLine="560" w:firstLineChars="200"/>
        <w:rPr>
          <w:sz w:val="28"/>
          <w:szCs w:val="28"/>
        </w:rPr>
      </w:pPr>
      <w:r>
        <w:rPr>
          <w:rFonts w:ascii="仿宋_GB2312" w:hAnsi="仿宋_GB2312" w:eastAsia="仿宋_GB2312" w:cs="仿宋_GB2312"/>
          <w:sz w:val="28"/>
          <w:szCs w:val="28"/>
        </w:rPr>
        <w:t>2024年7月</w:t>
      </w:r>
      <w:r>
        <w:rPr>
          <w:rFonts w:hint="eastAsia" w:ascii="仿宋_GB2312" w:hAnsi="仿宋_GB2312" w:eastAsia="仿宋_GB2312" w:cs="仿宋_GB2312"/>
          <w:sz w:val="28"/>
          <w:szCs w:val="28"/>
        </w:rPr>
        <w:t>地方标准编制任务下达后，</w:t>
      </w:r>
      <w:r>
        <w:rPr>
          <w:rFonts w:ascii="仿宋_GB2312" w:hAnsi="仿宋_GB2312" w:eastAsia="仿宋_GB2312" w:cs="仿宋_GB2312"/>
          <w:sz w:val="28"/>
          <w:szCs w:val="28"/>
        </w:rPr>
        <w:t>自治区核调院与参编单位自治区</w:t>
      </w:r>
      <w:r>
        <w:rPr>
          <w:rFonts w:hint="eastAsia" w:ascii="仿宋_GB2312" w:hAnsi="仿宋_GB2312" w:eastAsia="仿宋_GB2312" w:cs="仿宋_GB2312"/>
          <w:sz w:val="28"/>
          <w:szCs w:val="28"/>
        </w:rPr>
        <w:t>核与</w:t>
      </w:r>
      <w:r>
        <w:rPr>
          <w:rFonts w:ascii="仿宋_GB2312" w:hAnsi="仿宋_GB2312" w:eastAsia="仿宋_GB2312" w:cs="仿宋_GB2312"/>
          <w:sz w:val="28"/>
          <w:szCs w:val="28"/>
        </w:rPr>
        <w:t>辐射安全中心、</w:t>
      </w:r>
      <w:r>
        <w:rPr>
          <w:rFonts w:hint="eastAsia" w:ascii="仿宋_GB2312" w:hAnsi="仿宋_GB2312" w:eastAsia="仿宋_GB2312" w:cs="仿宋_GB2312"/>
          <w:sz w:val="28"/>
          <w:szCs w:val="28"/>
        </w:rPr>
        <w:t>自治区地质局、自治区国土资源调查监测院共同组成标准起草组，制定了工作计划，确定了任务分工，共同开展标准编制工作。</w:t>
      </w:r>
    </w:p>
    <w:p w14:paraId="4CEA9E02">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7" w:name="_Toc203050042"/>
      <w:r>
        <w:rPr>
          <w:rFonts w:ascii="Times New Roman" w:hAnsi="Times New Roman" w:eastAsia="黑体"/>
          <w:b w:val="0"/>
          <w:bCs/>
          <w:kern w:val="2"/>
          <w:sz w:val="28"/>
          <w:szCs w:val="28"/>
        </w:rPr>
        <w:t>（二）收集资料</w:t>
      </w:r>
      <w:bookmarkEnd w:id="17"/>
    </w:p>
    <w:p w14:paraId="5FBC867F">
      <w:pPr>
        <w:spacing w:line="560" w:lineRule="exact"/>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2019-202</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自治区核调院在宁夏全区多地县市陆续开展了天然放射性环境水平调查项目（部分项目亦有自治区核与辐射安全中心人员参与），如《银川市（三区二县）放射性环境背景调查（2019）》《宁夏吴忠市利通-青铜峡地区环境天然放射性水平调查（2021）》《石嘴山市环境天然放射性水平调查（2022）》等，系统收集了相关县市的自然地理、气象水文、地质与矿产、农业土地、经济社会发展、以往放射性工作等资料，综合调查了相关地区内的天然放射性数据，对部分环境介质的放射性水平进行了评价。为本次标准编制工作提供了大量的基础资料和试验验证资料。</w:t>
      </w:r>
    </w:p>
    <w:p w14:paraId="5E8092D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2022年开始，自治区核调院以上述项目的工作经验为基础，启动了《宁夏天然放射性环境调查工作指南》编制工作，作为开展放射性环境水平调查工作的内部指导手册。指南编写小组通过收集整理文献资料、召开内部研讨会、实地验证等方式完成稿件编写工作，随后邀请中国辐射防护研究院、中核第四研究设计工程有限公司、成都理工大学、东华理工大学、中陕核工业集团公司等多家单位的行业专家进行了审阅，再次进行了完善。这些工作的开展，为此次地标编制工作在技术资料收集与整理、技术路线构建、方法研究与验证等方面提供了多方面的研究成果。</w:t>
      </w:r>
    </w:p>
    <w:p w14:paraId="058D769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2024年8月开始，</w:t>
      </w: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起草</w:t>
      </w:r>
      <w:r>
        <w:rPr>
          <w:rFonts w:ascii="仿宋_GB2312" w:hAnsi="仿宋_GB2312" w:eastAsia="仿宋_GB2312" w:cs="仿宋_GB2312"/>
          <w:sz w:val="28"/>
          <w:szCs w:val="28"/>
        </w:rPr>
        <w:t>组在前述工作的基础上，再次收集、整理了放射性环境调查工作</w:t>
      </w:r>
      <w:r>
        <w:rPr>
          <w:rFonts w:hint="eastAsia" w:ascii="仿宋_GB2312" w:hAnsi="仿宋_GB2312" w:eastAsia="仿宋_GB2312" w:cs="仿宋_GB2312"/>
          <w:sz w:val="28"/>
          <w:szCs w:val="28"/>
        </w:rPr>
        <w:t>相关</w:t>
      </w:r>
      <w:r>
        <w:rPr>
          <w:rFonts w:ascii="仿宋_GB2312" w:hAnsi="仿宋_GB2312" w:eastAsia="仿宋_GB2312" w:cs="仿宋_GB2312"/>
          <w:sz w:val="28"/>
          <w:szCs w:val="28"/>
        </w:rPr>
        <w:t>的规范、标准和指南</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以及其它文献资料，</w:t>
      </w:r>
      <w:r>
        <w:rPr>
          <w:rFonts w:hint="eastAsia" w:ascii="仿宋_GB2312" w:hAnsi="仿宋_GB2312" w:eastAsia="仿宋_GB2312" w:cs="仿宋_GB2312"/>
          <w:sz w:val="28"/>
          <w:szCs w:val="28"/>
        </w:rPr>
        <w:t>如原国家环境保护局“全国天然放射性水平调查研究”（课题编号：85-4-9）、《电离辐射环境监测与评价》（国家环境保护总局辐射环境监测技术中心组织编写，潘自强主编，2007）、</w:t>
      </w:r>
      <w:r>
        <w:rPr>
          <w:rFonts w:ascii="仿宋_GB2312" w:hAnsi="仿宋_GB2312" w:eastAsia="仿宋_GB2312" w:cs="仿宋_GB2312"/>
          <w:sz w:val="28"/>
          <w:szCs w:val="28"/>
        </w:rPr>
        <w:t>HJ 61-2021《辐射环境监测技术规范》、HJ</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1157-2021《环境γ辐射剂量率测量技术规范》等</w:t>
      </w:r>
      <w:r>
        <w:rPr>
          <w:rFonts w:hint="eastAsia" w:ascii="仿宋_GB2312" w:hAnsi="仿宋_GB2312" w:eastAsia="仿宋_GB2312" w:cs="仿宋_GB2312"/>
          <w:sz w:val="28"/>
          <w:szCs w:val="28"/>
        </w:rPr>
        <w:t>。</w:t>
      </w:r>
    </w:p>
    <w:p w14:paraId="28306496">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8" w:name="_Toc203050043"/>
      <w:r>
        <w:rPr>
          <w:rFonts w:ascii="Times New Roman" w:hAnsi="Times New Roman" w:eastAsia="黑体"/>
          <w:b w:val="0"/>
          <w:bCs/>
          <w:kern w:val="2"/>
          <w:sz w:val="28"/>
          <w:szCs w:val="28"/>
        </w:rPr>
        <w:t>（三）调研及意见咨询</w:t>
      </w:r>
      <w:bookmarkEnd w:id="18"/>
    </w:p>
    <w:p w14:paraId="2262179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月，标准起草组与自治区核调院《宁东-灵武地区环境天然放射性水平调查（2022）》《宁夏中卫地区环境天然放射性水平调查（2023）》两个项目的项目组成员进行了调研</w:t>
      </w:r>
      <w:r>
        <w:rPr>
          <w:rFonts w:ascii="仿宋_GB2312" w:hAnsi="仿宋_GB2312" w:eastAsia="仿宋_GB2312" w:cs="仿宋_GB2312"/>
          <w:sz w:val="28"/>
          <w:szCs w:val="28"/>
        </w:rPr>
        <w:t>与座谈。由于</w:t>
      </w:r>
      <w:r>
        <w:rPr>
          <w:rFonts w:hint="eastAsia" w:ascii="仿宋_GB2312" w:hAnsi="仿宋_GB2312" w:eastAsia="仿宋_GB2312" w:cs="仿宋_GB2312"/>
          <w:sz w:val="28"/>
          <w:szCs w:val="28"/>
        </w:rPr>
        <w:t>标准起草组</w:t>
      </w:r>
      <w:r>
        <w:rPr>
          <w:rFonts w:ascii="仿宋_GB2312" w:hAnsi="仿宋_GB2312" w:eastAsia="仿宋_GB2312" w:cs="仿宋_GB2312"/>
          <w:sz w:val="28"/>
          <w:szCs w:val="28"/>
        </w:rPr>
        <w:t>部分成员参与过上述</w:t>
      </w:r>
      <w:r>
        <w:rPr>
          <w:rFonts w:hint="eastAsia" w:ascii="仿宋_GB2312" w:hAnsi="仿宋_GB2312" w:eastAsia="仿宋_GB2312" w:cs="仿宋_GB2312"/>
          <w:sz w:val="28"/>
          <w:szCs w:val="28"/>
        </w:rPr>
        <w:t>2个项目，对放射性环境调查工作有一定实践经验，因此调研与座谈主要侧重于</w:t>
      </w:r>
      <w:r>
        <w:rPr>
          <w:rFonts w:ascii="仿宋_GB2312" w:hAnsi="仿宋_GB2312" w:eastAsia="仿宋_GB2312" w:cs="仿宋_GB2312"/>
          <w:sz w:val="28"/>
          <w:szCs w:val="28"/>
        </w:rPr>
        <w:t>听取相关人员对标准制定的意见和想法，以充分掌握标准制定需求和技术要求。</w:t>
      </w:r>
    </w:p>
    <w:p w14:paraId="1F0AE203">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19" w:name="_Toc203050044"/>
      <w:r>
        <w:rPr>
          <w:rFonts w:ascii="Times New Roman" w:hAnsi="Times New Roman" w:eastAsia="黑体"/>
          <w:b w:val="0"/>
          <w:bCs/>
          <w:kern w:val="2"/>
          <w:sz w:val="28"/>
          <w:szCs w:val="28"/>
        </w:rPr>
        <w:t>（四）编制标准草案</w:t>
      </w:r>
      <w:bookmarkEnd w:id="19"/>
    </w:p>
    <w:p w14:paraId="7F8D432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ascii="仿宋_GB2312" w:hAnsi="仿宋_GB2312" w:eastAsia="仿宋_GB2312" w:cs="仿宋_GB2312"/>
          <w:sz w:val="28"/>
          <w:szCs w:val="28"/>
        </w:rPr>
        <w:t>4年11月，</w:t>
      </w:r>
      <w:r>
        <w:rPr>
          <w:rFonts w:hint="eastAsia" w:ascii="仿宋_GB2312" w:hAnsi="仿宋_GB2312" w:eastAsia="仿宋_GB2312" w:cs="仿宋_GB2312"/>
          <w:sz w:val="28"/>
          <w:szCs w:val="28"/>
        </w:rPr>
        <w:t>对所收集的资料进行梳理、分析,</w:t>
      </w:r>
      <w:r>
        <w:rPr>
          <w:rFonts w:ascii="仿宋_GB2312" w:hAnsi="仿宋_GB2312" w:eastAsia="仿宋_GB2312" w:cs="仿宋_GB2312"/>
          <w:sz w:val="28"/>
          <w:szCs w:val="28"/>
        </w:rPr>
        <w:t>在广泛征求一线技术人员意见的基础上，</w:t>
      </w:r>
      <w:r>
        <w:rPr>
          <w:rFonts w:hint="eastAsia" w:ascii="仿宋_GB2312" w:hAnsi="仿宋_GB2312" w:eastAsia="仿宋_GB2312" w:cs="仿宋_GB2312"/>
          <w:sz w:val="28"/>
          <w:szCs w:val="28"/>
        </w:rPr>
        <w:t>形成讨论稿及编制说明。</w:t>
      </w:r>
      <w:r>
        <w:rPr>
          <w:rFonts w:ascii="仿宋_GB2312" w:hAnsi="仿宋_GB2312" w:eastAsia="仿宋_GB2312" w:cs="仿宋_GB2312"/>
          <w:sz w:val="28"/>
          <w:szCs w:val="28"/>
        </w:rPr>
        <w:t>12月就</w:t>
      </w:r>
      <w:r>
        <w:rPr>
          <w:rFonts w:hint="eastAsia" w:ascii="仿宋_GB2312" w:hAnsi="仿宋_GB2312" w:eastAsia="仿宋_GB2312" w:cs="仿宋_GB2312"/>
          <w:sz w:val="28"/>
          <w:szCs w:val="28"/>
        </w:rPr>
        <w:t>讨论稿向中核第四研究设计工程有限公司和广西壮族自治区辐射环境监督管理站的2位专家进行了咨询后，对讨论稿及编制说明进行了修改。</w:t>
      </w:r>
    </w:p>
    <w:p w14:paraId="695767D2">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202</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月，自治区核调院和自治区核与辐射安全中心主持召开讨论稿研讨会，邀请</w:t>
      </w:r>
      <w:r>
        <w:rPr>
          <w:rFonts w:hint="eastAsia" w:ascii="仿宋_GB2312" w:hAnsi="仿宋_GB2312" w:eastAsia="仿宋_GB2312" w:cs="仿宋_GB2312"/>
          <w:sz w:val="28"/>
          <w:szCs w:val="28"/>
        </w:rPr>
        <w:t>中国辐射防护研究院、中核第四研究设计工程有限公司、广西壮族自治区辐射环境监督管理站、新疆维吾尔自治区核与辐射安全中心、宁夏回族自治区标准化研究院等多家单位的专家</w:t>
      </w:r>
      <w:r>
        <w:rPr>
          <w:rFonts w:ascii="仿宋_GB2312" w:hAnsi="仿宋_GB2312" w:eastAsia="仿宋_GB2312" w:cs="仿宋_GB2312"/>
          <w:sz w:val="28"/>
          <w:szCs w:val="28"/>
        </w:rPr>
        <w:t>，对标准的结构框架、主要内容等方面进行研讨，之后</w:t>
      </w:r>
      <w:r>
        <w:rPr>
          <w:rFonts w:hint="eastAsia" w:ascii="仿宋_GB2312" w:hAnsi="仿宋_GB2312" w:eastAsia="仿宋_GB2312" w:cs="仿宋_GB2312"/>
          <w:sz w:val="28"/>
          <w:szCs w:val="28"/>
        </w:rPr>
        <w:t>标准起草组</w:t>
      </w:r>
      <w:r>
        <w:rPr>
          <w:rFonts w:ascii="仿宋_GB2312" w:hAnsi="仿宋_GB2312" w:eastAsia="仿宋_GB2312" w:cs="仿宋_GB2312"/>
          <w:sz w:val="28"/>
          <w:szCs w:val="28"/>
        </w:rPr>
        <w:t>内部进行多次认真研讨，反复论证，经全面系统的修改形成</w:t>
      </w:r>
      <w:r>
        <w:rPr>
          <w:rFonts w:hint="eastAsia" w:ascii="仿宋_GB2312" w:hAnsi="仿宋_GB2312" w:eastAsia="仿宋_GB2312" w:cs="仿宋_GB2312"/>
          <w:sz w:val="28"/>
          <w:szCs w:val="28"/>
        </w:rPr>
        <w:t>征求意见稿草案及编制说明</w:t>
      </w:r>
      <w:r>
        <w:rPr>
          <w:rFonts w:ascii="仿宋_GB2312" w:hAnsi="仿宋_GB2312" w:eastAsia="仿宋_GB2312" w:cs="仿宋_GB2312"/>
          <w:sz w:val="28"/>
          <w:szCs w:val="28"/>
        </w:rPr>
        <w:t>。</w:t>
      </w:r>
    </w:p>
    <w:p w14:paraId="77FE6C3E">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r>
        <w:rPr>
          <w:rFonts w:ascii="Times New Roman" w:hAnsi="Times New Roman" w:eastAsia="黑体"/>
          <w:b w:val="0"/>
          <w:bCs/>
          <w:kern w:val="2"/>
          <w:sz w:val="28"/>
          <w:szCs w:val="28"/>
        </w:rPr>
        <w:t>（五）形成征求意见稿和征求意见</w:t>
      </w:r>
    </w:p>
    <w:p w14:paraId="77B526B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1.标准草案专家咨询</w:t>
      </w:r>
    </w:p>
    <w:p w14:paraId="32408119">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202</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年6月，自治区核调院和自治区核与辐射安全中心主持召开</w:t>
      </w:r>
      <w:r>
        <w:rPr>
          <w:rFonts w:hint="eastAsia" w:ascii="仿宋_GB2312" w:hAnsi="仿宋_GB2312" w:eastAsia="仿宋_GB2312" w:cs="仿宋_GB2312"/>
          <w:sz w:val="28"/>
          <w:szCs w:val="28"/>
        </w:rPr>
        <w:t>征求意见稿草案</w:t>
      </w:r>
      <w:r>
        <w:rPr>
          <w:rFonts w:ascii="仿宋_GB2312" w:hAnsi="仿宋_GB2312" w:eastAsia="仿宋_GB2312" w:cs="仿宋_GB2312"/>
          <w:sz w:val="28"/>
          <w:szCs w:val="28"/>
        </w:rPr>
        <w:t>研讨会，邀请</w:t>
      </w:r>
      <w:r>
        <w:rPr>
          <w:rFonts w:hint="eastAsia" w:ascii="仿宋_GB2312" w:hAnsi="仿宋_GB2312" w:eastAsia="仿宋_GB2312" w:cs="仿宋_GB2312"/>
          <w:sz w:val="28"/>
          <w:szCs w:val="28"/>
        </w:rPr>
        <w:t>宁夏回族自治区标准化研究院、安徽省辐射环境监督站、上海市辐射环境安全技术中心等多家单位的专家</w:t>
      </w:r>
      <w:r>
        <w:rPr>
          <w:rFonts w:ascii="仿宋_GB2312" w:hAnsi="仿宋_GB2312" w:eastAsia="仿宋_GB2312" w:cs="仿宋_GB2312"/>
          <w:sz w:val="28"/>
          <w:szCs w:val="28"/>
        </w:rPr>
        <w:t>，对标准</w:t>
      </w:r>
      <w:r>
        <w:rPr>
          <w:rFonts w:hint="eastAsia" w:ascii="仿宋_GB2312" w:hAnsi="仿宋_GB2312" w:eastAsia="仿宋_GB2312" w:cs="仿宋_GB2312"/>
          <w:sz w:val="28"/>
          <w:szCs w:val="28"/>
        </w:rPr>
        <w:t>正文与编制说明</w:t>
      </w:r>
      <w:r>
        <w:rPr>
          <w:rFonts w:ascii="仿宋_GB2312" w:hAnsi="仿宋_GB2312" w:eastAsia="仿宋_GB2312" w:cs="仿宋_GB2312"/>
          <w:sz w:val="28"/>
          <w:szCs w:val="28"/>
        </w:rPr>
        <w:t>进行了交流研讨。根据专家意见，</w:t>
      </w:r>
      <w:r>
        <w:rPr>
          <w:rFonts w:hint="eastAsia" w:ascii="仿宋_GB2312" w:hAnsi="仿宋_GB2312" w:eastAsia="仿宋_GB2312" w:cs="仿宋_GB2312"/>
          <w:sz w:val="28"/>
          <w:szCs w:val="28"/>
        </w:rPr>
        <w:t>修改后形成标准征求意见稿，完成编制说明的编写。</w:t>
      </w:r>
    </w:p>
    <w:p w14:paraId="4893439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2.行业内部咨询</w:t>
      </w:r>
    </w:p>
    <w:p w14:paraId="2C4748EF">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202</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月，自治区核调院和自治区核与辐射安全中心对各自所在行业的单位进行了内部征求意见。</w:t>
      </w:r>
    </w:p>
    <w:p w14:paraId="37C4AFDC">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w:t>
      </w:r>
      <w:r>
        <w:rPr>
          <w:rFonts w:hint="eastAsia" w:ascii="仿宋_GB2312" w:hAnsi="仿宋_GB2312" w:eastAsia="仿宋_GB2312" w:cs="仿宋_GB2312"/>
          <w:sz w:val="28"/>
          <w:szCs w:val="28"/>
        </w:rPr>
        <w:t>自治区核调院向全区自然资源和地质系统单位，即自治区国土资源调查监测院、自治区煤炭地质局、自治区基础地质调查院、自治区矿产地质调查院、自治区水文环境地质调查院、自治区地球物理地球化学调查院、自治区遥感调查院、自治区地质资料馆发出征求意见函。在规定期限内，自治区基础地质调查院和自治区国土资源调查监测院两家单位反馈了征求意见表，自治区基础地质调查院无意见，自治区国土资源调查监测院提出1条意见。</w:t>
      </w:r>
    </w:p>
    <w:p w14:paraId="265E8B2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自治区核与辐射安全中心向自治区生态环境厅相关处室和厅直属事业单位、自治区疾病预防控制中心征求意见，在规定期限内，除自治区疾病预防控制中心外，其余均无意见。</w:t>
      </w:r>
    </w:p>
    <w:p w14:paraId="44B17A1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标准起草组根据反馈意见对</w:t>
      </w: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正文与编制说明进行了修改完善，其中自治区国土资源调查监测院的意见全部采纳，自治区疾病预防控制中心意见部分采纳。</w:t>
      </w:r>
    </w:p>
    <w:p w14:paraId="0284951E">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20" w:name="_Toc203050045"/>
      <w:r>
        <w:rPr>
          <w:rFonts w:hint="eastAsia" w:ascii="Times New Roman" w:hAnsi="Times New Roman" w:eastAsia="黑体" w:cs="Times New Roman"/>
          <w:bCs w:val="0"/>
          <w:sz w:val="28"/>
          <w:szCs w:val="21"/>
        </w:rPr>
        <w:t>四、编制原则和依据，与</w:t>
      </w:r>
      <w:r>
        <w:rPr>
          <w:rFonts w:ascii="Times New Roman" w:hAnsi="Times New Roman" w:eastAsia="黑体" w:cs="Times New Roman"/>
          <w:bCs w:val="0"/>
          <w:sz w:val="28"/>
          <w:szCs w:val="21"/>
        </w:rPr>
        <w:t>现行法律</w:t>
      </w:r>
      <w:r>
        <w:rPr>
          <w:rFonts w:hint="eastAsia" w:ascii="Times New Roman" w:hAnsi="Times New Roman" w:eastAsia="黑体" w:cs="Times New Roman"/>
          <w:bCs w:val="0"/>
          <w:sz w:val="28"/>
          <w:szCs w:val="21"/>
        </w:rPr>
        <w:t>、</w:t>
      </w:r>
      <w:r>
        <w:rPr>
          <w:rFonts w:ascii="Times New Roman" w:hAnsi="Times New Roman" w:eastAsia="黑体" w:cs="Times New Roman"/>
          <w:bCs w:val="0"/>
          <w:sz w:val="28"/>
          <w:szCs w:val="21"/>
        </w:rPr>
        <w:t>法规</w:t>
      </w:r>
      <w:r>
        <w:rPr>
          <w:rFonts w:hint="eastAsia" w:ascii="Times New Roman" w:hAnsi="Times New Roman" w:eastAsia="黑体" w:cs="Times New Roman"/>
          <w:bCs w:val="0"/>
          <w:sz w:val="28"/>
          <w:szCs w:val="21"/>
        </w:rPr>
        <w:t>、</w:t>
      </w:r>
      <w:r>
        <w:rPr>
          <w:rFonts w:ascii="Times New Roman" w:hAnsi="Times New Roman" w:eastAsia="黑体" w:cs="Times New Roman"/>
          <w:bCs w:val="0"/>
          <w:sz w:val="28"/>
          <w:szCs w:val="21"/>
        </w:rPr>
        <w:t>标准的</w:t>
      </w:r>
      <w:r>
        <w:rPr>
          <w:rFonts w:hint="eastAsia" w:ascii="Times New Roman" w:hAnsi="Times New Roman" w:eastAsia="黑体" w:cs="Times New Roman"/>
          <w:bCs w:val="0"/>
          <w:sz w:val="28"/>
          <w:szCs w:val="21"/>
        </w:rPr>
        <w:t>关系</w:t>
      </w:r>
      <w:bookmarkEnd w:id="20"/>
    </w:p>
    <w:p w14:paraId="33595A32">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21" w:name="_Toc203050046"/>
      <w:r>
        <w:rPr>
          <w:rFonts w:ascii="Times New Roman" w:hAnsi="Times New Roman" w:eastAsia="黑体"/>
          <w:b w:val="0"/>
          <w:bCs/>
          <w:kern w:val="2"/>
          <w:sz w:val="28"/>
          <w:szCs w:val="28"/>
        </w:rPr>
        <w:t>（一）编制原则</w:t>
      </w:r>
      <w:bookmarkEnd w:id="21"/>
    </w:p>
    <w:p w14:paraId="05E5EFC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本标准编制原则如下：</w:t>
      </w:r>
    </w:p>
    <w:p w14:paraId="612C9E4D">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1.规范性与协调性</w:t>
      </w:r>
    </w:p>
    <w:p w14:paraId="07C1D73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本标准严格按照GB/T 1.1—2020《标准化工作导则  第1部分：标准化文件的结构和起草规则》以及《宁夏回族自治区地方标准管理办法》的规定起草，标准文本内容</w:t>
      </w:r>
      <w:r>
        <w:rPr>
          <w:rFonts w:ascii="仿宋_GB2312" w:hAnsi="仿宋_GB2312" w:eastAsia="仿宋_GB2312" w:cs="仿宋_GB2312"/>
          <w:sz w:val="28"/>
          <w:szCs w:val="28"/>
        </w:rPr>
        <w:t>表达准确，引用资料来源真实可靠</w:t>
      </w:r>
      <w:r>
        <w:rPr>
          <w:rFonts w:hint="eastAsia" w:ascii="仿宋_GB2312" w:hAnsi="仿宋_GB2312" w:eastAsia="仿宋_GB2312" w:cs="仿宋_GB2312"/>
          <w:sz w:val="28"/>
          <w:szCs w:val="28"/>
        </w:rPr>
        <w:t>且具有权威性</w:t>
      </w:r>
      <w:r>
        <w:rPr>
          <w:rFonts w:ascii="仿宋_GB2312" w:hAnsi="仿宋_GB2312" w:eastAsia="仿宋_GB2312" w:cs="仿宋_GB2312"/>
          <w:sz w:val="28"/>
          <w:szCs w:val="28"/>
        </w:rPr>
        <w:t>，条款设置合理，同时与现行有关国家政策、国家标准、行业标准</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宁夏地方标准协调一致，</w:t>
      </w:r>
      <w:r>
        <w:rPr>
          <w:rFonts w:hint="eastAsia" w:ascii="仿宋_GB2312" w:hAnsi="仿宋_GB2312" w:eastAsia="仿宋_GB2312" w:cs="仿宋_GB2312"/>
          <w:sz w:val="28"/>
          <w:szCs w:val="28"/>
        </w:rPr>
        <w:t>确保了</w:t>
      </w:r>
      <w:r>
        <w:rPr>
          <w:rFonts w:ascii="仿宋_GB2312" w:hAnsi="仿宋_GB2312" w:eastAsia="仿宋_GB2312" w:cs="仿宋_GB2312"/>
          <w:sz w:val="28"/>
          <w:szCs w:val="28"/>
        </w:rPr>
        <w:t>标准质量。</w:t>
      </w:r>
    </w:p>
    <w:p w14:paraId="326A8B16">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2.适用性与科学性</w:t>
      </w:r>
    </w:p>
    <w:p w14:paraId="617C35A0">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以</w:t>
      </w:r>
      <w:r>
        <w:rPr>
          <w:rFonts w:hint="eastAsia" w:ascii="仿宋_GB2312" w:hAnsi="仿宋_GB2312" w:eastAsia="仿宋_GB2312" w:cs="仿宋_GB2312"/>
          <w:sz w:val="28"/>
          <w:szCs w:val="28"/>
        </w:rPr>
        <w:t>原国家环境保护局 “全国天然放射性水平调查研究”（课题编号：85-4-9）和HJ 61《辐射环境监测技术规范》为科学指导，充分考虑宁夏不靠近海洋，无核电站等核设施，但分布有铀矿（铀矿化点）、伴生放射性矿利用企业的区位特点，同时结合公众需求，将适用的调查项目和技术方法纳入本标准中，以彰显标准的适用性和科学性。</w:t>
      </w:r>
    </w:p>
    <w:p w14:paraId="476CC0F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3.兼容性与前瞻性</w:t>
      </w:r>
    </w:p>
    <w:p w14:paraId="3233589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在条款制定时，充分考虑当前放射性环境调查与检测技术水平，在引用国家和行业技术标准时，尽可能不局限于指定版本，以确保本标准规定的技术方法与其他标准可以协同更新，保证了本标准的兼容性和前瞻性。</w:t>
      </w:r>
    </w:p>
    <w:p w14:paraId="76D952D1">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22" w:name="_Toc203050047"/>
      <w:r>
        <w:rPr>
          <w:rFonts w:ascii="Times New Roman" w:hAnsi="Times New Roman" w:eastAsia="黑体"/>
          <w:b w:val="0"/>
          <w:bCs/>
          <w:kern w:val="2"/>
          <w:sz w:val="28"/>
          <w:szCs w:val="28"/>
        </w:rPr>
        <w:t>（二）编制依据</w:t>
      </w:r>
      <w:bookmarkEnd w:id="22"/>
    </w:p>
    <w:p w14:paraId="0A4B193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1.法律法规</w:t>
      </w:r>
    </w:p>
    <w:p w14:paraId="7E12D4B3">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《中华人民共和国环境保护法》</w:t>
      </w:r>
    </w:p>
    <w:p w14:paraId="3376DE0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《中华人民共和国标准化法》</w:t>
      </w:r>
    </w:p>
    <w:p w14:paraId="61F3DE2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《中华人民共和国环境影响评价法》</w:t>
      </w:r>
    </w:p>
    <w:p w14:paraId="639DB19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《环境监测管理办法》（国家环境保护总局令 第39号）</w:t>
      </w:r>
    </w:p>
    <w:p w14:paraId="6EBA714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2.标准规范</w:t>
      </w:r>
    </w:p>
    <w:p w14:paraId="13C14F8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1.1</w:t>
      </w:r>
      <w:r>
        <w:rPr>
          <w:rFonts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标准化工作导则  第1部分：标准化文件的结构和起草规则</w:t>
      </w:r>
    </w:p>
    <w:p w14:paraId="7A149EB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11214</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水中镭-226的分析测定</w:t>
      </w:r>
    </w:p>
    <w:p w14:paraId="041AE1C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11224</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水中钍的分析方法</w:t>
      </w:r>
    </w:p>
    <w:p w14:paraId="1654416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14883.7</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食品安全国家标准 食品中放射性物质天然钍和铀的测定</w:t>
      </w:r>
    </w:p>
    <w:p w14:paraId="395E939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23726</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铀矿冶辐射环境监测规定</w:t>
      </w:r>
    </w:p>
    <w:p w14:paraId="7C4FF88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50325</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民用建筑工程室内环境污染控制标准</w:t>
      </w:r>
    </w:p>
    <w:p w14:paraId="22FDCDC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 8999</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电离辐射监测质量保证通用要求</w:t>
      </w:r>
    </w:p>
    <w:p w14:paraId="7DCCF00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8170</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数值修约规则与极限数值的表示和判定</w:t>
      </w:r>
    </w:p>
    <w:p w14:paraId="3A217CC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11218</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水中镭的α放射性核素的测定</w:t>
      </w:r>
    </w:p>
    <w:p w14:paraId="31BDEEA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11713</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高纯锗γ能谱分析通用方法</w:t>
      </w:r>
    </w:p>
    <w:p w14:paraId="5E78AA1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16145</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环境及生物样品中放射性核素的γ能谱分析方法</w:t>
      </w:r>
    </w:p>
    <w:p w14:paraId="5622547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27418</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测量不确定度评定和表示</w:t>
      </w:r>
    </w:p>
    <w:p w14:paraId="7E0FAC8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EJ/T 527</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环境辐射监测中生物采样的基本规定</w:t>
      </w:r>
    </w:p>
    <w:p w14:paraId="3A5A999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EJ/T 605</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铀矿勘查氡及其子体测量规范</w:t>
      </w:r>
    </w:p>
    <w:p w14:paraId="40C270D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EJ/T 900</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水中总β放射性测定蒸发法</w:t>
      </w:r>
    </w:p>
    <w:p w14:paraId="7E70038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EJ/T 1075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水中总α放射性浓度的测定厚源法</w:t>
      </w:r>
    </w:p>
    <w:p w14:paraId="2A43616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61</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辐射环境监测技术规范</w:t>
      </w:r>
    </w:p>
    <w:p w14:paraId="75FD6C4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840</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环境样品中微量铀的分析方法</w:t>
      </w:r>
    </w:p>
    <w:p w14:paraId="1630169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898</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水质 总α放射性的测定 厚源法</w:t>
      </w:r>
    </w:p>
    <w:p w14:paraId="4DE08D0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899</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水质 总β放射性的测定 厚源法</w:t>
      </w:r>
    </w:p>
    <w:p w14:paraId="3A8F396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1149</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环境空气气溶胶中γ放射性核素的测定 滤膜压片/γ能谱法</w:t>
      </w:r>
    </w:p>
    <w:p w14:paraId="2399376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1157</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环境γ辐射剂量率测量技术规范</w:t>
      </w:r>
    </w:p>
    <w:p w14:paraId="47EF12E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HJ 1212</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环境空气中氡的测量方法</w:t>
      </w:r>
    </w:p>
    <w:p w14:paraId="39B41EE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NB/T 20139</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核电厂环境放射性本底调查技术规范</w:t>
      </w:r>
    </w:p>
    <w:p w14:paraId="4E1148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WS/T 184</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空气中放射性核素的γ能谱分析方法</w:t>
      </w:r>
    </w:p>
    <w:p w14:paraId="0820AB4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3.政策规划</w:t>
      </w:r>
    </w:p>
    <w:p w14:paraId="68572E6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《宁夏回族自治区地方标准管理办法》（宁市监规发〔2020〕3号）</w:t>
      </w:r>
    </w:p>
    <w:p w14:paraId="5185ACE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自治区党委十三届五次全会通过的自治区党委</w:t>
      </w:r>
      <w:r>
        <w:rPr>
          <w:rFonts w:hint="eastAsia" w:ascii="仿宋_GB2312" w:hAnsi="仿宋_GB2312" w:eastAsia="仿宋_GB2312" w:cs="仿宋_GB2312"/>
          <w:sz w:val="28"/>
          <w:szCs w:val="28"/>
          <w:lang w:val="en-US" w:eastAsia="zh-CN"/>
        </w:rPr>
        <w:t>/自治区</w:t>
      </w:r>
      <w:bookmarkStart w:id="74" w:name="_GoBack"/>
      <w:bookmarkEnd w:id="74"/>
      <w:r>
        <w:rPr>
          <w:rFonts w:hint="eastAsia" w:ascii="仿宋_GB2312" w:hAnsi="仿宋_GB2312" w:eastAsia="仿宋_GB2312" w:cs="仿宋_GB2312"/>
          <w:sz w:val="28"/>
          <w:szCs w:val="28"/>
        </w:rPr>
        <w:t>人民政府《关于深入学习贯彻习近平总书记重要讲话精神全面推进新征程生态文明建设加快建设美丽宁夏的意见》（宁党发〔2023〕24号）</w:t>
      </w:r>
    </w:p>
    <w:p w14:paraId="104700A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《关于印发&lt;环境天然放射性水平调查规定&gt;的通知》（86）环放字第169号文件</w:t>
      </w:r>
    </w:p>
    <w:p w14:paraId="0EF094E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《国务院关于开展第二次全国污染源普查的通知》（国发〔2016〕59号）</w:t>
      </w:r>
    </w:p>
    <w:p w14:paraId="3E8D4F63">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23" w:name="_Toc203050048"/>
      <w:r>
        <w:rPr>
          <w:rFonts w:ascii="Times New Roman" w:hAnsi="Times New Roman" w:eastAsia="黑体"/>
          <w:b w:val="0"/>
          <w:bCs/>
          <w:kern w:val="2"/>
          <w:sz w:val="28"/>
          <w:szCs w:val="28"/>
        </w:rPr>
        <w:t>（三）与现行法律法规、标准的关系</w:t>
      </w:r>
      <w:bookmarkEnd w:id="23"/>
    </w:p>
    <w:p w14:paraId="4E2B7144">
      <w:pPr>
        <w:spacing w:line="560" w:lineRule="exact"/>
        <w:ind w:firstLine="560" w:firstLineChars="200"/>
        <w:rPr>
          <w:rFonts w:ascii="仿宋_GB2312" w:hAnsi="仿宋_GB2312" w:eastAsia="仿宋_GB2312" w:cs="仿宋_GB2312"/>
          <w:sz w:val="28"/>
          <w:szCs w:val="28"/>
          <w:highlight w:val="cyan"/>
        </w:rPr>
      </w:pPr>
      <w:r>
        <w:rPr>
          <w:rFonts w:hint="eastAsia" w:ascii="仿宋_GB2312" w:hAnsi="仿宋_GB2312" w:eastAsia="仿宋_GB2312" w:cs="仿宋_GB2312"/>
          <w:sz w:val="28"/>
          <w:szCs w:val="28"/>
        </w:rPr>
        <w:t>1.与现行法律法规的关系</w:t>
      </w:r>
    </w:p>
    <w:p w14:paraId="73A5118C">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制定</w:t>
      </w:r>
      <w:r>
        <w:rPr>
          <w:rFonts w:ascii="仿宋_GB2312" w:hAnsi="仿宋_GB2312" w:eastAsia="仿宋_GB2312" w:cs="仿宋_GB2312"/>
          <w:sz w:val="28"/>
          <w:szCs w:val="28"/>
        </w:rPr>
        <w:t>的过程中依据国家及宁夏回族自治区相关法律法规，相关内容遵循现行国家和自治区相关法律法规的要求，与现行法律法规保持一致。标准与相关法律法规的关系见表4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p>
    <w:p w14:paraId="1E9F0B84">
      <w:pPr>
        <w:spacing w:before="156" w:beforeLines="50" w:after="156" w:afterLines="50"/>
        <w:jc w:val="center"/>
        <w:rPr>
          <w:rFonts w:ascii="仿宋_GB2312" w:eastAsia="仿宋_GB2312" w:cs="Times New Roman" w:hAnsiTheme="minorEastAsia"/>
          <w:color w:val="000000" w:themeColor="text1"/>
          <w:sz w:val="28"/>
          <w:szCs w:val="28"/>
          <w14:textFill>
            <w14:solidFill>
              <w14:schemeClr w14:val="tx1"/>
            </w14:solidFill>
          </w14:textFill>
        </w:rPr>
      </w:pPr>
      <w:r>
        <w:rPr>
          <w:rFonts w:hint="eastAsia" w:ascii="仿宋_GB2312" w:eastAsia="仿宋_GB2312" w:cs="Times New Roman" w:hAnsiTheme="minorEastAsia"/>
          <w:color w:val="000000" w:themeColor="text1"/>
          <w:sz w:val="28"/>
          <w:szCs w:val="28"/>
          <w14:textFill>
            <w14:solidFill>
              <w14:schemeClr w14:val="tx1"/>
            </w14:solidFill>
          </w14:textFill>
        </w:rPr>
        <w:t>表4-1  标准修订过程中依据的相关法律法规一览表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40"/>
        <w:gridCol w:w="5110"/>
        <w:gridCol w:w="1943"/>
      </w:tblGrid>
      <w:tr w14:paraId="301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568990E8">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序号</w:t>
            </w:r>
          </w:p>
        </w:tc>
        <w:tc>
          <w:tcPr>
            <w:tcW w:w="610" w:type="pct"/>
            <w:vAlign w:val="center"/>
          </w:tcPr>
          <w:p w14:paraId="7688F8D5">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法律法规名称</w:t>
            </w:r>
          </w:p>
        </w:tc>
        <w:tc>
          <w:tcPr>
            <w:tcW w:w="2998" w:type="pct"/>
            <w:vAlign w:val="center"/>
          </w:tcPr>
          <w:p w14:paraId="7FBEFA70">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相关内容</w:t>
            </w:r>
          </w:p>
        </w:tc>
        <w:tc>
          <w:tcPr>
            <w:tcW w:w="1140" w:type="pct"/>
            <w:vAlign w:val="center"/>
          </w:tcPr>
          <w:p w14:paraId="5C9A8CA7">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本标准与该法律法规的一致性</w:t>
            </w:r>
          </w:p>
        </w:tc>
      </w:tr>
      <w:tr w14:paraId="0679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5B6EC688">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1</w:t>
            </w:r>
          </w:p>
        </w:tc>
        <w:tc>
          <w:tcPr>
            <w:tcW w:w="610" w:type="pct"/>
            <w:vAlign w:val="center"/>
          </w:tcPr>
          <w:p w14:paraId="43C3456B">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中华人民共和国环境保护法</w:t>
            </w:r>
          </w:p>
        </w:tc>
        <w:tc>
          <w:tcPr>
            <w:tcW w:w="2998" w:type="pct"/>
            <w:vAlign w:val="center"/>
          </w:tcPr>
          <w:p w14:paraId="354AF6EF">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第十八条  省级以上人民政府应当组织有关部门或者委托专业机构，对环境状况进行调查、评价，建立环境资源承载能力监测预警机制。</w:t>
            </w:r>
          </w:p>
          <w:p w14:paraId="17EFF93B">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第二十八条  地方各级人民政府应当根据环境保护目标和治理任务，采取有效措施，改善环境质量。</w:t>
            </w:r>
          </w:p>
          <w:p w14:paraId="6C390E12">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第三十二条  国家加强对大气、水、土壤等的保护，建立和完善相应的调查、监测、评估和修复制度。</w:t>
            </w:r>
          </w:p>
          <w:p w14:paraId="63DDA6DF">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第三十九条  国家建立、健全环境与健康监测、调查和风险评估制度；鼓励和组织开展环境质量对公众健康影响的研究，采取措施预防和控制与环境污染有关的疾病。</w:t>
            </w:r>
          </w:p>
        </w:tc>
        <w:tc>
          <w:tcPr>
            <w:tcW w:w="1140" w:type="pct"/>
            <w:vAlign w:val="center"/>
          </w:tcPr>
          <w:p w14:paraId="4957AD3A">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辐射作为环境的重要组成部分，已被证明对公众健康有着重要的影响。</w:t>
            </w:r>
          </w:p>
          <w:p w14:paraId="439D5958">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遵循第第十八条、第二十八条、第三十二条、第三十九条条款规定，在辐射环境调查方面开展标准制定。</w:t>
            </w:r>
          </w:p>
        </w:tc>
      </w:tr>
      <w:tr w14:paraId="3D8B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4278BC7">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2</w:t>
            </w:r>
          </w:p>
        </w:tc>
        <w:tc>
          <w:tcPr>
            <w:tcW w:w="610" w:type="pct"/>
            <w:vAlign w:val="center"/>
          </w:tcPr>
          <w:p w14:paraId="3C2A1A80">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中华人民共和国环境影响评价法</w:t>
            </w:r>
          </w:p>
        </w:tc>
        <w:tc>
          <w:tcPr>
            <w:tcW w:w="2998" w:type="pct"/>
            <w:vAlign w:val="center"/>
          </w:tcPr>
          <w:p w14:paraId="364765BC">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第六条　国家加强环境影响评价的基础数据库和评价指标体系建设，鼓励和支持对环境影响评价的方法、技术规范进行科学研究，建立必要的环境影响评价信息共享制度，提高环境影响评价的科学性。</w:t>
            </w:r>
          </w:p>
        </w:tc>
        <w:tc>
          <w:tcPr>
            <w:tcW w:w="1140" w:type="pct"/>
            <w:vAlign w:val="center"/>
          </w:tcPr>
          <w:p w14:paraId="6C16B0D7">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天然放射性环境调查所获取的数据是环境影响评价的基础数据库之一，同时提供了评价指标体系。遵循第六条条款规定，制定放射性环境调查技术规范，提高环境影响评价的科学性。</w:t>
            </w:r>
          </w:p>
        </w:tc>
      </w:tr>
      <w:tr w14:paraId="2EB9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BE16FB1">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3</w:t>
            </w:r>
          </w:p>
        </w:tc>
        <w:tc>
          <w:tcPr>
            <w:tcW w:w="610" w:type="pct"/>
            <w:vAlign w:val="center"/>
          </w:tcPr>
          <w:p w14:paraId="328695FE">
            <w:pPr>
              <w:jc w:val="cente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环境监测管理办法（国家环境保护总局令 第39号）</w:t>
            </w:r>
          </w:p>
        </w:tc>
        <w:tc>
          <w:tcPr>
            <w:tcW w:w="2998" w:type="pct"/>
            <w:vAlign w:val="center"/>
          </w:tcPr>
          <w:p w14:paraId="7035100E">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第三条　环境监测工作是县级以上环境保护部门的法定职责。</w:t>
            </w:r>
          </w:p>
          <w:p w14:paraId="3EB5E0AC">
            <w:pPr>
              <w:ind w:firstLine="432"/>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县级以上环境保护部门应当按照数据准确、代表性强、方法科学、传输及时的要求，建设先进的环境监测体系，为全面反映环境质量状况和变化趋势，及时跟踪污染源变化情况，准确预警各类环境突发事件等环境管理工作提供决策依据。</w:t>
            </w:r>
          </w:p>
          <w:p w14:paraId="6278FC6D">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第五条　县级以上环境保护部门所属环境监测机构具体承担下列主要环境监测技术支持工作：</w:t>
            </w:r>
          </w:p>
          <w:p w14:paraId="5678C88C">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（一）开展环境质量监测、污染源监督性监测和突发环境污染事件应急监测；</w:t>
            </w:r>
          </w:p>
          <w:p w14:paraId="72B292B9">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（二）承担环境监测网建设和运行，收集、管理环境监测数据，开展环境状况调查和评价，编制环境监测报告；</w:t>
            </w:r>
          </w:p>
          <w:p w14:paraId="47B3CAAD">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（三）负责环境监测人员的技术培训；</w:t>
            </w:r>
          </w:p>
          <w:p w14:paraId="57733845">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（四）开展环境监测领域科学研究，承担环境监测技术规范、方法研究以及国际合作和交流；</w:t>
            </w:r>
          </w:p>
          <w:p w14:paraId="7A429EB5">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（五）承担环境保护部门委托的其他环境监测技术支持工作。</w:t>
            </w:r>
          </w:p>
          <w:p w14:paraId="68CF7851">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第六条　国家环境保护总局负责依法制定统一的国家环境监测技术规范。</w:t>
            </w:r>
          </w:p>
          <w:p w14:paraId="7A47B149">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　　省级环境保护部门对国家环境监测技术规范未作规定的项目，可以制定地方环境监测技术规范，并报国家环境保护总局备案。</w:t>
            </w:r>
          </w:p>
        </w:tc>
        <w:tc>
          <w:tcPr>
            <w:tcW w:w="1140" w:type="pct"/>
            <w:vAlign w:val="center"/>
          </w:tcPr>
          <w:p w14:paraId="2B693302">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省级环境保护部门对国家环境监测技术规范未作规定的项目，可以制定地方环境监测技术规范。</w:t>
            </w:r>
          </w:p>
          <w:p w14:paraId="7DD6A65E">
            <w:pPr>
              <w:rPr>
                <w:rFonts w:ascii="仿宋_GB2312" w:hAnsi="仿宋" w:eastAsia="仿宋_GB2312" w:cs="Times New Roman"/>
                <w:color w:val="000000" w:themeColor="text1"/>
                <w:szCs w:val="21"/>
                <w14:textFill>
                  <w14:solidFill>
                    <w14:schemeClr w14:val="tx1"/>
                  </w14:solidFill>
                </w14:textFill>
              </w:rPr>
            </w:pPr>
            <w:r>
              <w:rPr>
                <w:rFonts w:hint="eastAsia" w:ascii="仿宋_GB2312" w:hAnsi="仿宋" w:eastAsia="仿宋_GB2312" w:cs="Times New Roman"/>
                <w:color w:val="000000" w:themeColor="text1"/>
                <w:szCs w:val="21"/>
                <w14:textFill>
                  <w14:solidFill>
                    <w14:schemeClr w14:val="tx1"/>
                  </w14:solidFill>
                </w14:textFill>
              </w:rPr>
              <w:t>遵循第三条、第五条、第六条条款规定，在辐射环境调查方面开展标准制定。</w:t>
            </w:r>
          </w:p>
        </w:tc>
      </w:tr>
    </w:tbl>
    <w:p w14:paraId="6E3C985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与现行标准的关系</w:t>
      </w:r>
    </w:p>
    <w:p w14:paraId="25ACE42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本标准制定过程中重视与国家、行业等现行标准相衔接，同时结合宁夏地区实际，使用成熟技术方法对相关标准中未规定内容进行补充完善，有较好的兼容性。</w:t>
      </w:r>
    </w:p>
    <w:p w14:paraId="6F445F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生态环境部于2021年2月24日颁布的HJ 61-2021《辐射环境监测技术规范》对辐射环境质量监测、辐射源环境监测提出了技术要求，对环境介质如空气、水体、生物等的检测、取样分析等也做出了规定，但是对环境放射性水平调查仅提到使用网格法布点开展工作，未对具体方法做出规定，对土壤氡等指标未做规定，存在不足。在实际应用时可以参考其中关于环境介质的检测、取样分析、质量控制等部分内容。</w:t>
      </w:r>
    </w:p>
    <w:p w14:paraId="0515DFF2">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24" w:name="_Toc203050049"/>
      <w:r>
        <w:rPr>
          <w:rFonts w:hint="eastAsia" w:ascii="Times New Roman" w:hAnsi="Times New Roman" w:eastAsia="黑体" w:cs="Times New Roman"/>
          <w:bCs w:val="0"/>
          <w:sz w:val="28"/>
          <w:szCs w:val="21"/>
        </w:rPr>
        <w:t>五、</w:t>
      </w:r>
      <w:r>
        <w:rPr>
          <w:rFonts w:ascii="Times New Roman" w:hAnsi="Times New Roman" w:eastAsia="黑体" w:cs="Times New Roman"/>
          <w:bCs w:val="0"/>
          <w:sz w:val="28"/>
          <w:szCs w:val="21"/>
        </w:rPr>
        <w:t>主要条款的说明</w:t>
      </w:r>
      <w:r>
        <w:rPr>
          <w:rFonts w:hint="eastAsia" w:ascii="Times New Roman" w:hAnsi="Times New Roman" w:eastAsia="黑体" w:cs="Times New Roman"/>
          <w:bCs w:val="0"/>
          <w:sz w:val="28"/>
          <w:szCs w:val="21"/>
        </w:rPr>
        <w:t>，主要</w:t>
      </w:r>
      <w:r>
        <w:rPr>
          <w:rFonts w:ascii="Times New Roman" w:hAnsi="Times New Roman" w:eastAsia="黑体" w:cs="Times New Roman"/>
          <w:bCs w:val="0"/>
          <w:sz w:val="28"/>
          <w:szCs w:val="21"/>
        </w:rPr>
        <w:t>技术指标、参数、实验验证的</w:t>
      </w:r>
      <w:r>
        <w:rPr>
          <w:rFonts w:hint="eastAsia" w:ascii="Times New Roman" w:hAnsi="Times New Roman" w:eastAsia="黑体" w:cs="Times New Roman"/>
          <w:bCs w:val="0"/>
          <w:sz w:val="28"/>
          <w:szCs w:val="21"/>
        </w:rPr>
        <w:t>论述</w:t>
      </w:r>
      <w:bookmarkEnd w:id="24"/>
    </w:p>
    <w:p w14:paraId="333D0914">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25" w:name="_Toc203050050"/>
      <w:r>
        <w:rPr>
          <w:rFonts w:ascii="Times New Roman" w:hAnsi="Times New Roman" w:eastAsia="黑体"/>
          <w:b w:val="0"/>
          <w:bCs/>
          <w:kern w:val="2"/>
          <w:sz w:val="28"/>
          <w:szCs w:val="28"/>
        </w:rPr>
        <w:t>（一）主要条款说明</w:t>
      </w:r>
      <w:bookmarkEnd w:id="25"/>
    </w:p>
    <w:p w14:paraId="479206A7">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标准起草组在查阅了近40年全国各地区开展的放射性环境调查报告、标准等资料的基础上，结合编制单位多年对天然放射性环境调查实践经验，确定宁夏地方标准《天然放射性环境调查技术规范》具体内容，本标准主要章节内容包括：术语和定义，调查目的、任务与要求，调查程序，调查内容，检测及采样分析方法，数据记录及处理，报告编制和质量保证。标准主要条款及依据来源说明如下：</w:t>
      </w:r>
    </w:p>
    <w:p w14:paraId="48160BF6">
      <w:pPr>
        <w:spacing w:line="560" w:lineRule="exact"/>
        <w:ind w:firstLine="560" w:firstLineChars="200"/>
        <w:outlineLvl w:val="1"/>
        <w:rPr>
          <w:rFonts w:ascii="仿宋_GB2312" w:hAnsi="仿宋" w:eastAsia="仿宋_GB2312" w:cs="仿宋_GB2312"/>
          <w:sz w:val="28"/>
          <w:szCs w:val="28"/>
        </w:rPr>
      </w:pPr>
      <w:bookmarkStart w:id="26" w:name="_Toc203050051"/>
      <w:bookmarkStart w:id="27" w:name="_Toc199516619"/>
      <w:r>
        <w:rPr>
          <w:rFonts w:hint="eastAsia" w:ascii="仿宋_GB2312" w:hAnsi="仿宋" w:eastAsia="仿宋_GB2312" w:cs="仿宋_GB2312"/>
          <w:sz w:val="28"/>
          <w:szCs w:val="28"/>
        </w:rPr>
        <w:t>1.关于术语和定义</w:t>
      </w:r>
      <w:bookmarkEnd w:id="26"/>
      <w:bookmarkEnd w:id="27"/>
    </w:p>
    <w:p w14:paraId="10D5A74C">
      <w:pPr>
        <w:spacing w:line="560" w:lineRule="exact"/>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（1）天然放射性环境调查 natural radioactive environment investigation</w:t>
      </w:r>
    </w:p>
    <w:p w14:paraId="6F7FDAA9">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参考“全国天然放射性水平调查研究”（原国家环境保护局，课题编号：85-4-9）项目对调查工作的定义，以及中国辐射防护学会对环境辐射调查的名词解释，结合实践经验确定天然放射性环境调查定义为：为了解指定范围内环境中的天然放射性水平，通过现场调查、采样检测和数据分析等手段进行研究分析的活动。</w:t>
      </w:r>
    </w:p>
    <w:p w14:paraId="16F46D3F">
      <w:pPr>
        <w:spacing w:line="560" w:lineRule="exact"/>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（2）环境本底辐射水平 environmental background radiation level</w:t>
      </w:r>
    </w:p>
    <w:p w14:paraId="3A0FDA6F">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参考《辐射防护》（环境保护部核与辐射安全中心编著，2015）一书对于本底辐射水平的释义，结合实践经验及工作需求，确定定义为：环境中天然存在的放射性辐射水平和环境介质中放射性核素的含量，由宇宙射线和地球上自然存在的放射性元素产生。</w:t>
      </w:r>
    </w:p>
    <w:p w14:paraId="0D3BB848">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（3）天然放射性核素 natural radioactive nuclide</w:t>
      </w:r>
    </w:p>
    <w:p w14:paraId="47196178">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结合2013-2023年《全国辐射环境质量报告》《辐射防护》、SN/T 2716《进出口建筑材料天然放射性核素检测方法》等内容关于天然放射线核素的定义，总结归纳定义为：从地球形成开始一直存在于地壳中的放射性核素，其能够从不稳定的</w:t>
      </w:r>
      <w:r>
        <w:fldChar w:fldCharType="begin"/>
      </w:r>
      <w:r>
        <w:instrText xml:space="preserve"> HYPERLINK "https://baike.baidu.com/item/%E5%8E%9F%E5%AD%90%E6%A0%B8/420990?fromModule=lemma_inlink" \t "https://baike.baidu.com/item/%E5%A4%A9%E7%84%B6%E6%94%BE%E5%B0%84%E6%80%A7/_blank" </w:instrText>
      </w:r>
      <w:r>
        <w:fldChar w:fldCharType="separate"/>
      </w:r>
      <w:r>
        <w:rPr>
          <w:rFonts w:hint="eastAsia" w:ascii="仿宋_GB2312" w:hAnsi="仿宋" w:eastAsia="仿宋_GB2312" w:cs="仿宋_GB2312"/>
          <w:sz w:val="28"/>
          <w:szCs w:val="28"/>
        </w:rPr>
        <w:t>原子核</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自发地放出</w:t>
      </w:r>
      <w:r>
        <w:fldChar w:fldCharType="begin"/>
      </w:r>
      <w:r>
        <w:instrText xml:space="preserve"> HYPERLINK "https://baike.baidu.com/item/%E5%B0%84%E7%BA%BF/327964?fromModule=lemma_inlink" \t "https://baike.baidu.com/item/%E5%A4%A9%E7%84%B6%E6%94%BE%E5%B0%84%E6%80%A7/_blank" </w:instrText>
      </w:r>
      <w:r>
        <w:fldChar w:fldCharType="separate"/>
      </w:r>
      <w:r>
        <w:rPr>
          <w:rFonts w:hint="eastAsia" w:ascii="仿宋_GB2312" w:hAnsi="仿宋" w:eastAsia="仿宋_GB2312" w:cs="仿宋_GB2312"/>
          <w:sz w:val="28"/>
          <w:szCs w:val="28"/>
        </w:rPr>
        <w:t>射线</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（如</w:t>
      </w:r>
      <w:r>
        <w:fldChar w:fldCharType="begin"/>
      </w:r>
      <w:r>
        <w:instrText xml:space="preserve"> HYPERLINK "https://baike.baidu.com/item/%CE%B1%E5%B0%84%E7%BA%BF/0?fromModule=lemma_inlink" \t "https://baike.baidu.com/item/%E5%A4%A9%E7%84%B6%E6%94%BE%E5%B0%84%E6%80%A7/_blank" </w:instrText>
      </w:r>
      <w:r>
        <w:fldChar w:fldCharType="separate"/>
      </w:r>
      <w:r>
        <w:rPr>
          <w:rFonts w:hint="eastAsia" w:ascii="仿宋_GB2312" w:hAnsi="仿宋" w:eastAsia="仿宋_GB2312" w:cs="仿宋_GB2312"/>
          <w:sz w:val="28"/>
          <w:szCs w:val="28"/>
        </w:rPr>
        <w:t>α射线</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w:t>
      </w:r>
      <w:r>
        <w:fldChar w:fldCharType="begin"/>
      </w:r>
      <w:r>
        <w:instrText xml:space="preserve"> HYPERLINK "https://baike.baidu.com/item/%CE%B2%E5%B0%84%E7%BA%BF/0?fromModule=lemma_inlink" \t "https://baike.baidu.com/item/%E5%A4%A9%E7%84%B6%E6%94%BE%E5%B0%84%E6%80%A7/_blank" </w:instrText>
      </w:r>
      <w:r>
        <w:fldChar w:fldCharType="separate"/>
      </w:r>
      <w:r>
        <w:rPr>
          <w:rFonts w:hint="eastAsia" w:ascii="仿宋_GB2312" w:hAnsi="仿宋" w:eastAsia="仿宋_GB2312" w:cs="仿宋_GB2312"/>
          <w:sz w:val="28"/>
          <w:szCs w:val="28"/>
        </w:rPr>
        <w:t>β射线</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w:t>
      </w:r>
      <w:r>
        <w:fldChar w:fldCharType="begin"/>
      </w:r>
      <w:r>
        <w:instrText xml:space="preserve"> HYPERLINK "https://baike.baidu.com/item/%CE%B3%E5%B0%84%E7%BA%BF/0?fromModule=lemma_inlink" \t "https://baike.baidu.com/item/%E5%A4%A9%E7%84%B6%E6%94%BE%E5%B0%84%E6%80%A7/_blank" </w:instrText>
      </w:r>
      <w:r>
        <w:fldChar w:fldCharType="separate"/>
      </w:r>
      <w:r>
        <w:rPr>
          <w:rFonts w:hint="eastAsia" w:ascii="仿宋_GB2312" w:hAnsi="仿宋" w:eastAsia="仿宋_GB2312" w:cs="仿宋_GB2312"/>
          <w:sz w:val="28"/>
          <w:szCs w:val="28"/>
        </w:rPr>
        <w:t>γ射线</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等），而衰变形成稳定</w:t>
      </w:r>
      <w:r>
        <w:fldChar w:fldCharType="begin"/>
      </w:r>
      <w:r>
        <w:instrText xml:space="preserve"> HYPERLINK "https://baike.baidu.com/item/%E5%85%83%E7%B4%A0/29645?fromModule=lemma_inlink" \t "https://baike.baidu.com/item/%E5%A4%A9%E7%84%B6%E6%94%BE%E5%B0%84%E6%80%A7/_blank" </w:instrText>
      </w:r>
      <w:r>
        <w:fldChar w:fldCharType="separate"/>
      </w:r>
      <w:r>
        <w:rPr>
          <w:rFonts w:hint="eastAsia" w:ascii="仿宋_GB2312" w:hAnsi="仿宋" w:eastAsia="仿宋_GB2312" w:cs="仿宋_GB2312"/>
          <w:sz w:val="28"/>
          <w:szCs w:val="28"/>
        </w:rPr>
        <w:t>元素</w:t>
      </w:r>
      <w:r>
        <w:rPr>
          <w:rFonts w:hint="eastAsia" w:ascii="仿宋_GB2312" w:hAnsi="仿宋" w:eastAsia="仿宋_GB2312" w:cs="仿宋_GB2312"/>
          <w:sz w:val="28"/>
          <w:szCs w:val="28"/>
        </w:rPr>
        <w:fldChar w:fldCharType="end"/>
      </w:r>
      <w:r>
        <w:rPr>
          <w:rFonts w:hint="eastAsia" w:ascii="仿宋_GB2312" w:hAnsi="仿宋" w:eastAsia="仿宋_GB2312" w:cs="仿宋_GB2312"/>
          <w:sz w:val="28"/>
          <w:szCs w:val="28"/>
        </w:rPr>
        <w:t>。</w:t>
      </w:r>
    </w:p>
    <w:p w14:paraId="33BD2517">
      <w:pPr>
        <w:spacing w:line="560" w:lineRule="exact"/>
        <w:ind w:firstLine="560" w:firstLineChars="200"/>
        <w:outlineLvl w:val="1"/>
        <w:rPr>
          <w:rFonts w:ascii="仿宋_GB2312" w:hAnsi="仿宋" w:eastAsia="仿宋_GB2312" w:cs="仿宋_GB2312"/>
          <w:sz w:val="28"/>
          <w:szCs w:val="28"/>
        </w:rPr>
      </w:pPr>
      <w:bookmarkStart w:id="28" w:name="_Toc203050052"/>
      <w:bookmarkStart w:id="29" w:name="_Toc199516620"/>
      <w:r>
        <w:rPr>
          <w:rFonts w:hint="eastAsia" w:ascii="仿宋_GB2312" w:hAnsi="仿宋" w:eastAsia="仿宋_GB2312" w:cs="仿宋_GB2312"/>
          <w:sz w:val="28"/>
          <w:szCs w:val="28"/>
        </w:rPr>
        <w:t>2.关于规范性引用文件</w:t>
      </w:r>
      <w:bookmarkEnd w:id="28"/>
      <w:bookmarkEnd w:id="29"/>
    </w:p>
    <w:p w14:paraId="7A44BDCA">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说明本标准引用的规范。</w:t>
      </w:r>
    </w:p>
    <w:p w14:paraId="3A31F7CD">
      <w:pPr>
        <w:spacing w:line="560" w:lineRule="exact"/>
        <w:ind w:firstLine="560" w:firstLineChars="200"/>
        <w:outlineLvl w:val="1"/>
        <w:rPr>
          <w:rFonts w:ascii="仿宋_GB2312" w:hAnsi="仿宋" w:eastAsia="仿宋_GB2312" w:cs="仿宋_GB2312"/>
          <w:sz w:val="28"/>
          <w:szCs w:val="28"/>
        </w:rPr>
      </w:pPr>
      <w:bookmarkStart w:id="30" w:name="_Toc203050053"/>
      <w:bookmarkStart w:id="31" w:name="_Toc199516621"/>
      <w:r>
        <w:rPr>
          <w:rFonts w:hint="eastAsia" w:ascii="仿宋_GB2312" w:hAnsi="仿宋" w:eastAsia="仿宋_GB2312" w:cs="仿宋_GB2312"/>
          <w:sz w:val="28"/>
          <w:szCs w:val="28"/>
        </w:rPr>
        <w:t>3.调查目的、任务与要求</w:t>
      </w:r>
      <w:bookmarkEnd w:id="30"/>
      <w:bookmarkEnd w:id="31"/>
    </w:p>
    <w:p w14:paraId="29FC5269">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说明了天然放射性环境调查的目的、任务以及要求。</w:t>
      </w:r>
    </w:p>
    <w:p w14:paraId="4FF23EF1">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基于以往全国及各省市开展的放射性环境水平调查工作的实践经验，结合放射性环境领域内出台的国家标准、行业标准和地方标准，参考《电离辐射环境监测与评价》（国家环境保护总局辐射环境监测技术中心组织编写，潘自强主编，2007）和《环境天然放射性水平调查规定》（1986环放169号文），提出了天然放射性环境调查的具体目的、任务及要求。</w:t>
      </w:r>
    </w:p>
    <w:p w14:paraId="1B657141">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天然放射性环境调查的目的是获取调查区内环境天然放射性基础数据，掌握环境天然放射性现状水平、分布及其规律，及时发现各类自然和人为活动所引起的环境放射性水平变化，为区域辐射环境标准制定、辐射环境监测、辐射环境评价和环境管理提供基础资料。</w:t>
      </w:r>
    </w:p>
    <w:p w14:paraId="1DB68BF4">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调查任务及要求是收集指定工作区域的基础资料，开展现场踏勘工作，制定调查方案，结合实际情况，做好现场检测和采样、实验室分析工作，完成全部调查任务。</w:t>
      </w:r>
    </w:p>
    <w:p w14:paraId="7F23D219">
      <w:pPr>
        <w:spacing w:line="560" w:lineRule="exact"/>
        <w:ind w:firstLine="560" w:firstLineChars="200"/>
        <w:outlineLvl w:val="1"/>
        <w:rPr>
          <w:rFonts w:ascii="仿宋_GB2312" w:hAnsi="仿宋" w:eastAsia="仿宋_GB2312" w:cs="仿宋_GB2312"/>
          <w:sz w:val="28"/>
          <w:szCs w:val="28"/>
        </w:rPr>
      </w:pPr>
      <w:bookmarkStart w:id="32" w:name="_Toc199516622"/>
      <w:bookmarkStart w:id="33" w:name="_Toc203050054"/>
      <w:r>
        <w:rPr>
          <w:rFonts w:hint="eastAsia" w:ascii="仿宋_GB2312" w:hAnsi="仿宋" w:eastAsia="仿宋_GB2312" w:cs="仿宋_GB2312"/>
          <w:sz w:val="28"/>
          <w:szCs w:val="28"/>
        </w:rPr>
        <w:t>4.调查程序</w:t>
      </w:r>
      <w:bookmarkEnd w:id="32"/>
      <w:bookmarkEnd w:id="33"/>
    </w:p>
    <w:p w14:paraId="1C400DB5">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根据调查目的、任务和要求制定了调查工作程序流程图，规范工作的开展。</w:t>
      </w:r>
    </w:p>
    <w:p w14:paraId="605A9FB6">
      <w:pPr>
        <w:spacing w:line="560" w:lineRule="exact"/>
        <w:ind w:firstLine="560" w:firstLineChars="200"/>
        <w:outlineLvl w:val="1"/>
        <w:rPr>
          <w:rFonts w:ascii="仿宋_GB2312" w:hAnsi="仿宋" w:eastAsia="仿宋_GB2312" w:cs="仿宋_GB2312"/>
          <w:sz w:val="28"/>
          <w:szCs w:val="28"/>
        </w:rPr>
      </w:pPr>
      <w:bookmarkStart w:id="34" w:name="_Toc199516623"/>
      <w:bookmarkStart w:id="35" w:name="_Toc203050055"/>
      <w:r>
        <w:rPr>
          <w:rFonts w:hint="eastAsia" w:ascii="仿宋_GB2312" w:hAnsi="仿宋" w:eastAsia="仿宋_GB2312" w:cs="仿宋_GB2312"/>
          <w:sz w:val="28"/>
          <w:szCs w:val="28"/>
        </w:rPr>
        <w:t>5.调查内容</w:t>
      </w:r>
      <w:bookmarkEnd w:id="34"/>
      <w:bookmarkEnd w:id="35"/>
    </w:p>
    <w:p w14:paraId="0FADE37C">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本章节内容确定了调查点布设方法、调查项目和调查方法。</w:t>
      </w:r>
    </w:p>
    <w:p w14:paraId="1CFCC1C6">
      <w:pPr>
        <w:spacing w:line="560" w:lineRule="exact"/>
        <w:ind w:firstLine="560" w:firstLineChars="200"/>
        <w:rPr>
          <w:rFonts w:ascii="仿宋_GB2312" w:hAnsi="仿宋" w:eastAsia="仿宋_GB2312" w:cs="仿宋_GB2312"/>
          <w:sz w:val="28"/>
          <w:szCs w:val="28"/>
        </w:rPr>
      </w:pPr>
      <w:bookmarkStart w:id="36" w:name="_Toc199516624"/>
      <w:r>
        <w:rPr>
          <w:rFonts w:hint="eastAsia" w:ascii="仿宋_GB2312" w:hAnsi="仿宋" w:eastAsia="仿宋_GB2312" w:cs="仿宋_GB2312"/>
          <w:sz w:val="28"/>
          <w:szCs w:val="28"/>
        </w:rPr>
        <w:t>（1）调查点布设方法</w:t>
      </w:r>
      <w:bookmarkEnd w:id="36"/>
    </w:p>
    <w:p w14:paraId="27A28579">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鉴于1983-1990年全国开展了第一次环境天然放射性水平调查工作，在全国范围内采用的技术路线是以网格均匀布点，调查了陆地γ辐射剂量率，同时采集水样、土壤样进行分析；并在城镇、人工污染源、环境放射性异常区以及生态敏感区加密布点。其主要网格大小的划分，河北、宁夏等16省是25km×25km；青海、四川、云南、黑龙江、新疆5省部分是25km×25km，部分是50km×50km；西藏是50km×50km；江西、浙江、山东、辽宁、北京、天津6省市是10km×10km；上海是5km×5km。在大中城市市区采用了更小的网格，主要分为3类：①按1km×1km网格划分，代表城市有北京市、天津市、武汉市、包头市；②按1.5km×1.5km网格划分，代表城市有上海市；③按2km×2km网格划分，包括银川市在内的多数城市采用此网格。此外，在一些人口密集区、伴生放射性矿等区域按实际情况选择了网格大小，如宁夏河套平原按12.5km×12.5km网格划分、内蒙古白云鄂博矿区按1km×1km网格划分。总体来说，全国网格大小主要为25km×25km。</w:t>
      </w:r>
    </w:p>
    <w:p w14:paraId="3266BE5A">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根据上述工作经验，此后全国各地区开展的各类环境天然放射性水平调查工作大部分采用了网格法，如《江西省鄱阳湖生态经济区天然放射性环境调查与评价（2017）》《“海澄文定”地区放射性地质环境调查（2020-2024）》等。</w:t>
      </w:r>
    </w:p>
    <w:p w14:paraId="4A0C70F0">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2019-2023年期间，宁夏开展的《银川市（三区二县）放射性环境背景调查（2019）》《宁夏吴忠市利通-青铜峡地区环境天然放射性水平调查（2021）》《石嘴山市环境天然放射性水平调查（2022）》《宁东-灵武地区环境天然放射性水平调查（2022）》《宁夏中卫地区环境天然放射性水平调查（2023）》等也采用了网格法，取得了较好的调查成果。</w:t>
      </w:r>
    </w:p>
    <w:p w14:paraId="1DF5EE3C">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HJ 1157-2021《环境γ辐射剂量率测量技术规范》4.2.2章节规定“全国性或一定区域内的环境γ辐射水平调查，通常以适当距离的网格均匀布点，网格大小一般可选25km×25km、10km×10km、5km×5km或更小区域”。</w:t>
      </w:r>
    </w:p>
    <w:p w14:paraId="0D4BC4EF">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HJ 61-2021《辐射环境监测技术规范》4.1.2.6章节提到“环境放射性水平调查是一项特殊的辐射环境质量监测活动，一般采用网格化布点”。</w:t>
      </w:r>
    </w:p>
    <w:p w14:paraId="63210F4C">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因此制定本标准时，综合考量上述资料与成果，选定网格法布点作为天然放射性环境调查工作的基础技术路线。相比较其他技术路线，网格法有着独特的优势：一是调查方案的设计和实施相对简单，便于调查数据的后续应用；二是对于给定的调查区域提供最大的空间覆盖度且覆盖密度均匀一致，对于地形地貌复杂、检测项目多的调查工作有较好的适应性；三是调查结果能够与1983-1990年的调查成果进行对比分析，从而评估近40年来环境放射性水平变化情况，这一方法在全国辐射环境质量监测、环境影响评价等领域有着较广泛的使用。</w:t>
      </w:r>
    </w:p>
    <w:p w14:paraId="0654D22C">
      <w:pPr>
        <w:spacing w:line="560" w:lineRule="exact"/>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对于宁夏地区而言，推荐使用网格法布点，网格大小划分方法借鉴HJ/T 166《土壤环境监测技术规范》、HJ 1157《环境γ辐射剂量率测量技术规范》、EJ/T 363《地面伽玛能谱测量规范》等规范中的技术要求，结合实际工作经验，综合起来拟定调查工作的网格可在10m、50m、100m、0.5km、1km、2.5km、5km、10km、25km中选择适当的网距。实际调查工作中，根据调查目的、调查区的地理环境、人口分布情况、土地利用状况、环境敏感程度、工作经费配置等多方面因素综合确定调查网格间距。一般建议在大范围（如县市或跨县市级）区域开展工作时，网格大小一般可选25km×25km、10km×10km、5km×5km或1km×1km；在较小的区域范围（如矿山、建设用地等）开展工作时，网格大小一般可选500m×500m、100m×100m、50m×50m或10m×10m。</w:t>
      </w:r>
    </w:p>
    <w:p w14:paraId="7F0F8340">
      <w:pPr>
        <w:ind w:firstLine="560" w:firstLineChars="200"/>
        <w:rPr>
          <w:rFonts w:ascii="仿宋_GB2312" w:hAnsi="仿宋" w:eastAsia="仿宋_GB2312" w:cs="仿宋_GB2312"/>
          <w:sz w:val="28"/>
          <w:szCs w:val="28"/>
        </w:rPr>
      </w:pPr>
      <w:bookmarkStart w:id="37" w:name="_Toc199516625"/>
      <w:r>
        <w:rPr>
          <w:rFonts w:hint="eastAsia" w:ascii="仿宋_GB2312" w:hAnsi="仿宋" w:eastAsia="仿宋_GB2312" w:cs="仿宋_GB2312"/>
          <w:sz w:val="28"/>
          <w:szCs w:val="28"/>
        </w:rPr>
        <w:t>（2）调查项目</w:t>
      </w:r>
      <w:bookmarkEnd w:id="37"/>
    </w:p>
    <w:p w14:paraId="112B20F8">
      <w:pPr>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1983—1990年开展的第一次全国环境天然放射性水平调查工作，为我国辐射环境标准制定、辐射环境监测、辐射环境评价和环境管理提供了一份全面、系统、重要的基础资料。所采用的调查研究方法（如25km×25km网格均匀布点与特殊区域加密布点结合）、测量分析方法（包括陆地γ辐射剂量率、土壤核素含量、水体放射性等综合检测）以及严密的质量保证体系（如数据可追溯至国家计量标准），成为此后开展类似调查工作的</w:t>
      </w:r>
      <w:r>
        <w:rPr>
          <w:rFonts w:hint="eastAsia" w:ascii="仿宋_GB2312" w:hAnsi="仿宋" w:eastAsia="仿宋_GB2312" w:cs="宋体"/>
          <w:sz w:val="28"/>
          <w:szCs w:val="28"/>
        </w:rPr>
        <w:t>重要参考依据和标准流程</w:t>
      </w:r>
      <w:r>
        <w:rPr>
          <w:rFonts w:hint="eastAsia" w:ascii="仿宋_GB2312" w:hAnsi="仿宋" w:eastAsia="仿宋_GB2312" w:cs="MS Mincho"/>
          <w:sz w:val="28"/>
          <w:szCs w:val="28"/>
        </w:rPr>
        <w:t>。</w:t>
      </w:r>
    </w:p>
    <w:p w14:paraId="3E9C812B">
      <w:pPr>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但是受制于当时的技术、设备、调查人员综合素质等限制，第一次全国环境天然放射性水平调查工作选择环境（原野、道路、室内）γ辐射剂量率；土壤中</w:t>
      </w:r>
      <w:r>
        <w:rPr>
          <w:rFonts w:hint="eastAsia" w:ascii="仿宋_GB2312" w:hAnsi="仿宋" w:eastAsia="仿宋_GB2312" w:cs="Times New Roman"/>
          <w:sz w:val="28"/>
          <w:szCs w:val="28"/>
          <w:vertAlign w:val="superscript"/>
        </w:rPr>
        <w:t>238</w:t>
      </w:r>
      <w:r>
        <w:rPr>
          <w:rFonts w:hint="eastAsia" w:ascii="仿宋_GB2312" w:hAnsi="仿宋" w:eastAsia="仿宋_GB2312" w:cs="Times New Roman"/>
          <w:sz w:val="28"/>
          <w:szCs w:val="28"/>
        </w:rPr>
        <w:t>U、</w:t>
      </w:r>
      <w:r>
        <w:rPr>
          <w:rFonts w:hint="eastAsia" w:ascii="仿宋_GB2312" w:hAnsi="仿宋" w:eastAsia="仿宋_GB2312" w:cs="Times New Roman"/>
          <w:sz w:val="28"/>
          <w:szCs w:val="28"/>
          <w:vertAlign w:val="superscript"/>
        </w:rPr>
        <w:t>232</w:t>
      </w:r>
      <w:r>
        <w:rPr>
          <w:rFonts w:hint="eastAsia" w:ascii="仿宋_GB2312" w:hAnsi="仿宋" w:eastAsia="仿宋_GB2312" w:cs="Times New Roman"/>
          <w:sz w:val="28"/>
          <w:szCs w:val="28"/>
        </w:rPr>
        <w:t>Th、</w:t>
      </w:r>
      <w:r>
        <w:rPr>
          <w:rFonts w:hint="eastAsia" w:ascii="仿宋_GB2312" w:hAnsi="仿宋" w:eastAsia="仿宋_GB2312" w:cs="Times New Roman"/>
          <w:sz w:val="28"/>
          <w:szCs w:val="28"/>
          <w:vertAlign w:val="superscript"/>
        </w:rPr>
        <w:t>226</w:t>
      </w:r>
      <w:r>
        <w:rPr>
          <w:rFonts w:hint="eastAsia" w:ascii="仿宋_GB2312" w:hAnsi="仿宋" w:eastAsia="仿宋_GB2312" w:cs="Times New Roman"/>
          <w:sz w:val="28"/>
          <w:szCs w:val="28"/>
        </w:rPr>
        <w:t>Ra和</w:t>
      </w:r>
      <w:r>
        <w:rPr>
          <w:rFonts w:hint="eastAsia" w:ascii="仿宋_GB2312" w:hAnsi="仿宋" w:eastAsia="仿宋_GB2312" w:cs="Times New Roman"/>
          <w:sz w:val="28"/>
          <w:szCs w:val="28"/>
          <w:vertAlign w:val="superscript"/>
        </w:rPr>
        <w:t>40</w:t>
      </w:r>
      <w:r>
        <w:rPr>
          <w:rFonts w:hint="eastAsia" w:ascii="仿宋_GB2312" w:hAnsi="仿宋" w:eastAsia="仿宋_GB2312" w:cs="Times New Roman"/>
          <w:sz w:val="28"/>
          <w:szCs w:val="28"/>
        </w:rPr>
        <w:t>K含量；江河、湖泊、水库、泉、近海水、农村井水各类水体和自来水中U、Th、</w:t>
      </w:r>
      <w:r>
        <w:rPr>
          <w:rFonts w:hint="eastAsia" w:ascii="仿宋_GB2312" w:hAnsi="仿宋" w:eastAsia="仿宋_GB2312" w:cs="Times New Roman"/>
          <w:sz w:val="28"/>
          <w:szCs w:val="28"/>
          <w:vertAlign w:val="superscript"/>
        </w:rPr>
        <w:t>226</w:t>
      </w:r>
      <w:r>
        <w:rPr>
          <w:rFonts w:hint="eastAsia" w:ascii="仿宋_GB2312" w:hAnsi="仿宋" w:eastAsia="仿宋_GB2312" w:cs="Times New Roman"/>
          <w:sz w:val="28"/>
          <w:szCs w:val="28"/>
        </w:rPr>
        <w:t>Ra和</w:t>
      </w:r>
      <w:r>
        <w:rPr>
          <w:rFonts w:hint="eastAsia" w:ascii="仿宋_GB2312" w:hAnsi="仿宋" w:eastAsia="仿宋_GB2312" w:cs="Times New Roman"/>
          <w:sz w:val="28"/>
          <w:szCs w:val="28"/>
          <w:vertAlign w:val="superscript"/>
        </w:rPr>
        <w:t>40</w:t>
      </w:r>
      <w:r>
        <w:rPr>
          <w:rFonts w:hint="eastAsia" w:ascii="仿宋_GB2312" w:hAnsi="仿宋" w:eastAsia="仿宋_GB2312" w:cs="Times New Roman"/>
          <w:sz w:val="28"/>
          <w:szCs w:val="28"/>
        </w:rPr>
        <w:t>K浓度等作为主要检测项目，空气中氡及其子体浓度作为选测项目，仅在有条件的省份针对肺癌发病率较高地区室内、新型建材的居室和窑洞中作试点调查。</w:t>
      </w:r>
    </w:p>
    <w:p w14:paraId="15141582">
      <w:pPr>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现在距第一次全国范围的天然放射性水平调查已经过去了40多年，社会环境与当年相比，发生了巨大的变化，铀矿、伴生矿等在全国不少省份得到开发利用，而核技术更是在工业、农业、医学、环保等领域被广泛地应用。宁夏也拥伴生放射性矿利用企业，以及大量的核技术利用企事业单位，这些伴生放射性矿的利用及核技术应用活动为周围环境带来了深刻的改变，环境的放射性水平也发生了变化。</w:t>
      </w:r>
    </w:p>
    <w:p w14:paraId="3E89C942">
      <w:pPr>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随着科技进步，社会经济发展对辐射环境检测工作要求的提高，全国部分省市开展了环境天然放射性水平调查（根据公开资料收集），与第一次全国环境天然放射性水平调查工作相比，除γ辐射空气吸收剂量率外，根据实际需求，土壤增加了核素种类，水体增加了总α、总β及核素种类；一些调查还增加了环境氡、气溶胶中总α总β及核素分析、生物样品的核素分析等。这些新增调查内容，丰富了调查成果（见表5-1）。</w:t>
      </w:r>
    </w:p>
    <w:p w14:paraId="46FAC92F">
      <w:pPr>
        <w:ind w:firstLine="560" w:firstLineChars="200"/>
        <w:rPr>
          <w:rFonts w:ascii="仿宋_GB2312" w:hAnsi="仿宋" w:eastAsia="仿宋_GB2312" w:cs="仿宋_GB2312"/>
          <w:sz w:val="28"/>
          <w:szCs w:val="28"/>
        </w:rPr>
      </w:pPr>
      <w:r>
        <w:rPr>
          <w:rFonts w:hint="eastAsia" w:ascii="仿宋_GB2312" w:hAnsi="仿宋" w:eastAsia="仿宋_GB2312" w:cs="Times New Roman"/>
          <w:sz w:val="28"/>
          <w:szCs w:val="28"/>
        </w:rPr>
        <w:t>近年来，生态环境部根据实践需要，在全国辐射环境监测方案中也增加了检测项目（参考辐射环境监测技术中心发布的2015-2023年连续9年的《全国辐射环境质量报告》，见表5-1）。</w:t>
      </w:r>
    </w:p>
    <w:p w14:paraId="1E04F29B">
      <w:pPr>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2021年，新修订的HJ 61-2021《辐射环境监测技术规范》发布，是近20年我国辐射环境监测实践的经验总结，其规定的辐射环境质量监测对象与项目，以及检测方法，成为近年来开展放射性环境监测工作的基础依据。</w:t>
      </w:r>
    </w:p>
    <w:p w14:paraId="3EDBF8AE">
      <w:pPr>
        <w:spacing w:line="56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pgNumType w:start="1"/>
          <w:cols w:space="425" w:num="1"/>
          <w:docGrid w:type="lines" w:linePitch="312" w:charSpace="0"/>
        </w:sectPr>
      </w:pPr>
    </w:p>
    <w:p w14:paraId="17DFF2EC">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表5-1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全国及宁夏放射性环境调查项目及检测内容一览表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1296"/>
        <w:gridCol w:w="1511"/>
        <w:gridCol w:w="2381"/>
        <w:gridCol w:w="2758"/>
        <w:gridCol w:w="1746"/>
        <w:gridCol w:w="1395"/>
      </w:tblGrid>
      <w:tr w14:paraId="791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Merge w:val="restart"/>
            <w:vAlign w:val="center"/>
          </w:tcPr>
          <w:p w14:paraId="0576F4B2">
            <w:pPr>
              <w:jc w:val="center"/>
              <w:rPr>
                <w:rFonts w:cs="宋体" w:asciiTheme="minorEastAsia" w:hAnsiTheme="minorEastAsia"/>
                <w:sz w:val="18"/>
                <w:szCs w:val="18"/>
              </w:rPr>
            </w:pPr>
            <w:r>
              <w:rPr>
                <w:rFonts w:hint="eastAsia" w:cs="宋体" w:asciiTheme="minorEastAsia" w:hAnsiTheme="minorEastAsia"/>
                <w:sz w:val="18"/>
                <w:szCs w:val="18"/>
              </w:rPr>
              <w:t>项目名称</w:t>
            </w:r>
          </w:p>
        </w:tc>
        <w:tc>
          <w:tcPr>
            <w:tcW w:w="457" w:type="pct"/>
            <w:vMerge w:val="restart"/>
            <w:vAlign w:val="center"/>
          </w:tcPr>
          <w:p w14:paraId="5A28E392">
            <w:pPr>
              <w:jc w:val="center"/>
              <w:rPr>
                <w:rFonts w:cs="宋体" w:asciiTheme="minorEastAsia" w:hAnsiTheme="minorEastAsia"/>
                <w:sz w:val="18"/>
                <w:szCs w:val="18"/>
              </w:rPr>
            </w:pPr>
            <w:r>
              <w:rPr>
                <w:rFonts w:hint="eastAsia" w:cs="宋体" w:asciiTheme="minorEastAsia" w:hAnsiTheme="minorEastAsia"/>
                <w:sz w:val="18"/>
                <w:szCs w:val="18"/>
              </w:rPr>
              <w:t>调查布点</w:t>
            </w:r>
          </w:p>
        </w:tc>
        <w:tc>
          <w:tcPr>
            <w:tcW w:w="3454" w:type="pct"/>
            <w:gridSpan w:val="5"/>
            <w:vAlign w:val="center"/>
          </w:tcPr>
          <w:p w14:paraId="3F96038A">
            <w:pPr>
              <w:jc w:val="center"/>
              <w:rPr>
                <w:rFonts w:cs="宋体" w:asciiTheme="minorEastAsia" w:hAnsiTheme="minorEastAsia"/>
                <w:sz w:val="18"/>
                <w:szCs w:val="18"/>
              </w:rPr>
            </w:pPr>
            <w:r>
              <w:rPr>
                <w:rFonts w:hint="eastAsia" w:cs="宋体" w:asciiTheme="minorEastAsia" w:hAnsiTheme="minorEastAsia"/>
                <w:sz w:val="18"/>
                <w:szCs w:val="18"/>
              </w:rPr>
              <w:t>检测内容</w:t>
            </w:r>
          </w:p>
        </w:tc>
      </w:tr>
      <w:tr w14:paraId="50E4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Merge w:val="continue"/>
            <w:vAlign w:val="center"/>
          </w:tcPr>
          <w:p w14:paraId="5C551203">
            <w:pPr>
              <w:jc w:val="center"/>
              <w:rPr>
                <w:rFonts w:cs="宋体" w:asciiTheme="minorEastAsia" w:hAnsiTheme="minorEastAsia"/>
                <w:sz w:val="18"/>
                <w:szCs w:val="18"/>
              </w:rPr>
            </w:pPr>
          </w:p>
        </w:tc>
        <w:tc>
          <w:tcPr>
            <w:tcW w:w="457" w:type="pct"/>
            <w:vMerge w:val="continue"/>
          </w:tcPr>
          <w:p w14:paraId="7691E577">
            <w:pPr>
              <w:jc w:val="center"/>
              <w:rPr>
                <w:rFonts w:cs="宋体" w:asciiTheme="minorEastAsia" w:hAnsiTheme="minorEastAsia"/>
                <w:sz w:val="18"/>
                <w:szCs w:val="18"/>
              </w:rPr>
            </w:pPr>
          </w:p>
        </w:tc>
        <w:tc>
          <w:tcPr>
            <w:tcW w:w="533" w:type="pct"/>
            <w:vAlign w:val="center"/>
          </w:tcPr>
          <w:p w14:paraId="46A0EEC2">
            <w:pPr>
              <w:jc w:val="center"/>
              <w:rPr>
                <w:rFonts w:cs="宋体" w:asciiTheme="minorEastAsia" w:hAnsiTheme="minorEastAsia"/>
                <w:sz w:val="18"/>
                <w:szCs w:val="18"/>
              </w:rPr>
            </w:pPr>
            <w:r>
              <w:rPr>
                <w:rFonts w:hint="eastAsia" w:cs="宋体" w:asciiTheme="minorEastAsia" w:hAnsiTheme="minorEastAsia"/>
                <w:sz w:val="18"/>
                <w:szCs w:val="18"/>
              </w:rPr>
              <w:t>陆地γ</w:t>
            </w:r>
          </w:p>
        </w:tc>
        <w:tc>
          <w:tcPr>
            <w:tcW w:w="840" w:type="pct"/>
            <w:vAlign w:val="center"/>
          </w:tcPr>
          <w:p w14:paraId="26F45102">
            <w:pPr>
              <w:jc w:val="center"/>
              <w:rPr>
                <w:rFonts w:cs="宋体" w:asciiTheme="minorEastAsia" w:hAnsiTheme="minorEastAsia"/>
                <w:sz w:val="18"/>
                <w:szCs w:val="18"/>
              </w:rPr>
            </w:pPr>
            <w:r>
              <w:rPr>
                <w:rFonts w:hint="eastAsia" w:cs="宋体" w:asciiTheme="minorEastAsia" w:hAnsiTheme="minorEastAsia"/>
                <w:sz w:val="18"/>
                <w:szCs w:val="18"/>
              </w:rPr>
              <w:t>土壤（固体）</w:t>
            </w:r>
          </w:p>
        </w:tc>
        <w:tc>
          <w:tcPr>
            <w:tcW w:w="973" w:type="pct"/>
            <w:vAlign w:val="center"/>
          </w:tcPr>
          <w:p w14:paraId="05D48CFA">
            <w:pPr>
              <w:jc w:val="center"/>
              <w:rPr>
                <w:rFonts w:cs="宋体" w:asciiTheme="minorEastAsia" w:hAnsiTheme="minorEastAsia"/>
                <w:sz w:val="18"/>
                <w:szCs w:val="18"/>
              </w:rPr>
            </w:pPr>
            <w:r>
              <w:rPr>
                <w:rFonts w:hint="eastAsia" w:cs="宋体" w:asciiTheme="minorEastAsia" w:hAnsiTheme="minorEastAsia"/>
                <w:sz w:val="18"/>
                <w:szCs w:val="18"/>
              </w:rPr>
              <w:t>水体</w:t>
            </w:r>
          </w:p>
        </w:tc>
        <w:tc>
          <w:tcPr>
            <w:tcW w:w="616" w:type="pct"/>
            <w:vAlign w:val="center"/>
          </w:tcPr>
          <w:p w14:paraId="4630FEBA">
            <w:pPr>
              <w:jc w:val="center"/>
              <w:rPr>
                <w:rFonts w:cs="宋体" w:asciiTheme="minorEastAsia" w:hAnsiTheme="minorEastAsia"/>
                <w:sz w:val="18"/>
                <w:szCs w:val="18"/>
              </w:rPr>
            </w:pPr>
            <w:r>
              <w:rPr>
                <w:rFonts w:hint="eastAsia" w:cs="宋体" w:asciiTheme="minorEastAsia" w:hAnsiTheme="minorEastAsia"/>
                <w:sz w:val="18"/>
                <w:szCs w:val="18"/>
              </w:rPr>
              <w:t>空气</w:t>
            </w:r>
          </w:p>
        </w:tc>
        <w:tc>
          <w:tcPr>
            <w:tcW w:w="492" w:type="pct"/>
            <w:vAlign w:val="center"/>
          </w:tcPr>
          <w:p w14:paraId="60A91057">
            <w:pPr>
              <w:jc w:val="center"/>
              <w:rPr>
                <w:rFonts w:cs="宋体" w:asciiTheme="minorEastAsia" w:hAnsiTheme="minorEastAsia"/>
                <w:sz w:val="18"/>
                <w:szCs w:val="18"/>
              </w:rPr>
            </w:pPr>
            <w:r>
              <w:rPr>
                <w:rFonts w:hint="eastAsia" w:cs="宋体" w:asciiTheme="minorEastAsia" w:hAnsiTheme="minorEastAsia"/>
                <w:sz w:val="18"/>
                <w:szCs w:val="18"/>
              </w:rPr>
              <w:t>生物</w:t>
            </w:r>
          </w:p>
        </w:tc>
      </w:tr>
      <w:tr w14:paraId="6199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7596169A">
            <w:pPr>
              <w:jc w:val="center"/>
              <w:rPr>
                <w:rFonts w:cs="宋体" w:asciiTheme="minorEastAsia" w:hAnsiTheme="minorEastAsia"/>
                <w:sz w:val="18"/>
                <w:szCs w:val="18"/>
              </w:rPr>
            </w:pPr>
            <w:r>
              <w:rPr>
                <w:rFonts w:hint="eastAsia" w:cs="宋体" w:asciiTheme="minorEastAsia" w:hAnsiTheme="minorEastAsia"/>
                <w:sz w:val="18"/>
                <w:szCs w:val="18"/>
              </w:rPr>
              <w:t>全国环境天然放射性水平调查研究（1983—1990年）</w:t>
            </w:r>
          </w:p>
        </w:tc>
        <w:tc>
          <w:tcPr>
            <w:tcW w:w="457" w:type="pct"/>
            <w:vAlign w:val="center"/>
          </w:tcPr>
          <w:p w14:paraId="713A3F3F">
            <w:pPr>
              <w:jc w:val="center"/>
              <w:rPr>
                <w:rFonts w:cs="宋体" w:asciiTheme="minorEastAsia" w:hAnsiTheme="minorEastAsia"/>
                <w:sz w:val="18"/>
                <w:szCs w:val="18"/>
              </w:rPr>
            </w:pPr>
            <w:r>
              <w:rPr>
                <w:rFonts w:cs="宋体" w:asciiTheme="minorEastAsia" w:hAnsiTheme="minorEastAsia"/>
                <w:sz w:val="18"/>
                <w:szCs w:val="18"/>
              </w:rPr>
              <w:t>50km×50km</w:t>
            </w:r>
          </w:p>
          <w:p w14:paraId="25EC7E9A">
            <w:pPr>
              <w:jc w:val="center"/>
              <w:rPr>
                <w:rFonts w:cs="宋体" w:asciiTheme="minorEastAsia" w:hAnsiTheme="minorEastAsia"/>
                <w:sz w:val="18"/>
                <w:szCs w:val="18"/>
              </w:rPr>
            </w:pPr>
            <w:r>
              <w:rPr>
                <w:rFonts w:cs="宋体" w:asciiTheme="minorEastAsia" w:hAnsiTheme="minorEastAsia"/>
                <w:sz w:val="18"/>
                <w:szCs w:val="18"/>
              </w:rPr>
              <w:t>25km×25km</w:t>
            </w:r>
          </w:p>
          <w:p w14:paraId="3213E781">
            <w:pPr>
              <w:jc w:val="center"/>
            </w:pPr>
            <w:r>
              <w:rPr>
                <w:rFonts w:cs="宋体" w:asciiTheme="minorEastAsia" w:hAnsiTheme="minorEastAsia"/>
                <w:sz w:val="18"/>
                <w:szCs w:val="18"/>
              </w:rPr>
              <w:t>10km×10km等</w:t>
            </w:r>
          </w:p>
        </w:tc>
        <w:tc>
          <w:tcPr>
            <w:tcW w:w="533" w:type="pct"/>
            <w:vAlign w:val="center"/>
          </w:tcPr>
          <w:p w14:paraId="19EE0E7B">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5CAE33F6">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220C55D0">
            <w:pPr>
              <w:jc w:val="left"/>
              <w:rPr>
                <w:rFonts w:cs="宋体" w:asciiTheme="minorEastAsia" w:hAnsiTheme="minorEastAsia"/>
                <w:sz w:val="18"/>
                <w:szCs w:val="18"/>
              </w:rPr>
            </w:pP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616" w:type="pct"/>
            <w:vAlign w:val="center"/>
          </w:tcPr>
          <w:p w14:paraId="4E44C030">
            <w:pPr>
              <w:jc w:val="left"/>
              <w:rPr>
                <w:rFonts w:cs="宋体" w:asciiTheme="minorEastAsia" w:hAnsiTheme="minorEastAsia"/>
                <w:sz w:val="18"/>
                <w:szCs w:val="18"/>
              </w:rPr>
            </w:pPr>
            <w:r>
              <w:rPr>
                <w:rFonts w:hint="eastAsia" w:cs="宋体" w:asciiTheme="minorEastAsia" w:hAnsiTheme="minorEastAsia"/>
                <w:sz w:val="18"/>
                <w:szCs w:val="18"/>
              </w:rPr>
              <w:t>氡及其子体浓度（选测）</w:t>
            </w:r>
          </w:p>
        </w:tc>
        <w:tc>
          <w:tcPr>
            <w:tcW w:w="492" w:type="pct"/>
            <w:vAlign w:val="center"/>
          </w:tcPr>
          <w:p w14:paraId="3E8DD10C">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6FA2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5A636C33">
            <w:pPr>
              <w:jc w:val="center"/>
              <w:rPr>
                <w:rFonts w:cs="宋体" w:asciiTheme="minorEastAsia" w:hAnsiTheme="minorEastAsia"/>
                <w:sz w:val="18"/>
                <w:szCs w:val="18"/>
              </w:rPr>
            </w:pPr>
            <w:r>
              <w:rPr>
                <w:rFonts w:hint="eastAsia" w:cs="宋体" w:asciiTheme="minorEastAsia" w:hAnsiTheme="minorEastAsia"/>
                <w:sz w:val="18"/>
                <w:szCs w:val="18"/>
              </w:rPr>
              <w:t>城市环境天然放射性评价研究（成都市2005）</w:t>
            </w:r>
          </w:p>
        </w:tc>
        <w:tc>
          <w:tcPr>
            <w:tcW w:w="457" w:type="pct"/>
            <w:vAlign w:val="center"/>
          </w:tcPr>
          <w:p w14:paraId="17035525">
            <w:pPr>
              <w:jc w:val="center"/>
              <w:rPr>
                <w:rFonts w:cs="宋体" w:asciiTheme="minorEastAsia" w:hAnsiTheme="minorEastAsia"/>
                <w:sz w:val="18"/>
                <w:szCs w:val="18"/>
              </w:rPr>
            </w:pPr>
            <w:r>
              <w:rPr>
                <w:rFonts w:hint="eastAsia" w:cs="宋体" w:asciiTheme="minorEastAsia" w:hAnsiTheme="minorEastAsia"/>
                <w:sz w:val="18"/>
                <w:szCs w:val="18"/>
              </w:rPr>
              <w:t>100m、500m剖面</w:t>
            </w:r>
          </w:p>
        </w:tc>
        <w:tc>
          <w:tcPr>
            <w:tcW w:w="533" w:type="pct"/>
            <w:vAlign w:val="center"/>
          </w:tcPr>
          <w:p w14:paraId="333ACB9A">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71A19C13">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5FED6988">
            <w:pPr>
              <w:jc w:val="center"/>
              <w:rPr>
                <w:rFonts w:cs="宋体" w:asciiTheme="minorEastAsia" w:hAnsiTheme="minorEastAsia"/>
                <w:sz w:val="18"/>
                <w:szCs w:val="18"/>
              </w:rPr>
            </w:pPr>
            <w:r>
              <w:rPr>
                <w:rFonts w:cs="宋体" w:asciiTheme="minorEastAsia" w:hAnsiTheme="minorEastAsia"/>
                <w:sz w:val="18"/>
                <w:szCs w:val="18"/>
              </w:rPr>
              <w:t>无</w:t>
            </w:r>
          </w:p>
        </w:tc>
        <w:tc>
          <w:tcPr>
            <w:tcW w:w="616" w:type="pct"/>
            <w:vAlign w:val="center"/>
          </w:tcPr>
          <w:p w14:paraId="31F65E26">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5386A62E">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497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36C28F27">
            <w:pPr>
              <w:jc w:val="center"/>
              <w:rPr>
                <w:rFonts w:cs="宋体" w:asciiTheme="minorEastAsia" w:hAnsiTheme="minorEastAsia"/>
                <w:sz w:val="18"/>
                <w:szCs w:val="18"/>
              </w:rPr>
            </w:pPr>
            <w:r>
              <w:rPr>
                <w:rFonts w:hint="eastAsia" w:cs="宋体" w:asciiTheme="minorEastAsia" w:hAnsiTheme="minorEastAsia"/>
                <w:sz w:val="18"/>
                <w:szCs w:val="18"/>
              </w:rPr>
              <w:t>青岛市区辐射环境质量评价研究（2006年）</w:t>
            </w:r>
          </w:p>
        </w:tc>
        <w:tc>
          <w:tcPr>
            <w:tcW w:w="457" w:type="pct"/>
            <w:vAlign w:val="center"/>
          </w:tcPr>
          <w:p w14:paraId="1B404B11">
            <w:pPr>
              <w:jc w:val="center"/>
              <w:rPr>
                <w:rFonts w:cs="宋体" w:asciiTheme="minorEastAsia" w:hAnsiTheme="minorEastAsia"/>
                <w:sz w:val="18"/>
                <w:szCs w:val="18"/>
              </w:rPr>
            </w:pPr>
            <w:r>
              <w:rPr>
                <w:rFonts w:cs="宋体" w:asciiTheme="minorEastAsia" w:hAnsiTheme="minorEastAsia"/>
                <w:sz w:val="18"/>
                <w:szCs w:val="18"/>
              </w:rPr>
              <w:t>500m×500m</w:t>
            </w:r>
          </w:p>
        </w:tc>
        <w:tc>
          <w:tcPr>
            <w:tcW w:w="533" w:type="pct"/>
            <w:vAlign w:val="center"/>
          </w:tcPr>
          <w:p w14:paraId="60FAACCC">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0BC401F4">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p>
        </w:tc>
        <w:tc>
          <w:tcPr>
            <w:tcW w:w="973" w:type="pct"/>
            <w:vAlign w:val="center"/>
          </w:tcPr>
          <w:p w14:paraId="798B9A12">
            <w:pPr>
              <w:jc w:val="center"/>
              <w:rPr>
                <w:rFonts w:cs="宋体" w:asciiTheme="minorEastAsia" w:hAnsiTheme="minorEastAsia"/>
                <w:sz w:val="18"/>
                <w:szCs w:val="18"/>
              </w:rPr>
            </w:pPr>
            <w:r>
              <w:rPr>
                <w:rFonts w:cs="宋体" w:asciiTheme="minorEastAsia" w:hAnsiTheme="minorEastAsia"/>
                <w:sz w:val="18"/>
                <w:szCs w:val="18"/>
              </w:rPr>
              <w:t>无</w:t>
            </w:r>
          </w:p>
        </w:tc>
        <w:tc>
          <w:tcPr>
            <w:tcW w:w="616" w:type="pct"/>
            <w:vAlign w:val="center"/>
          </w:tcPr>
          <w:p w14:paraId="7BA299B9">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vAlign w:val="center"/>
          </w:tcPr>
          <w:p w14:paraId="27F051B5">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7310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086F61B5">
            <w:pPr>
              <w:jc w:val="center"/>
              <w:rPr>
                <w:rFonts w:cs="宋体" w:asciiTheme="minorEastAsia" w:hAnsiTheme="minorEastAsia"/>
                <w:sz w:val="18"/>
                <w:szCs w:val="18"/>
              </w:rPr>
            </w:pPr>
            <w:r>
              <w:rPr>
                <w:rFonts w:hint="eastAsia" w:cs="宋体" w:asciiTheme="minorEastAsia" w:hAnsiTheme="minorEastAsia"/>
                <w:sz w:val="18"/>
                <w:szCs w:val="18"/>
              </w:rPr>
              <w:t>南京市环境放射性水平调查与评价（2008-</w:t>
            </w:r>
            <w:r>
              <w:rPr>
                <w:rFonts w:cs="宋体" w:asciiTheme="minorEastAsia" w:hAnsiTheme="minorEastAsia"/>
                <w:sz w:val="18"/>
                <w:szCs w:val="18"/>
              </w:rPr>
              <w:t>2012</w:t>
            </w:r>
            <w:r>
              <w:rPr>
                <w:rFonts w:hint="eastAsia" w:cs="宋体" w:asciiTheme="minorEastAsia" w:hAnsiTheme="minorEastAsia"/>
                <w:sz w:val="18"/>
                <w:szCs w:val="18"/>
              </w:rPr>
              <w:t>）</w:t>
            </w:r>
          </w:p>
        </w:tc>
        <w:tc>
          <w:tcPr>
            <w:tcW w:w="457" w:type="pct"/>
            <w:vAlign w:val="center"/>
          </w:tcPr>
          <w:p w14:paraId="085336C5">
            <w:pPr>
              <w:jc w:val="center"/>
              <w:rPr>
                <w:rFonts w:cs="宋体" w:asciiTheme="minorEastAsia" w:hAnsiTheme="minorEastAsia"/>
                <w:sz w:val="18"/>
                <w:szCs w:val="18"/>
              </w:rPr>
            </w:pPr>
            <w:r>
              <w:rPr>
                <w:rFonts w:cs="宋体" w:asciiTheme="minorEastAsia" w:hAnsiTheme="minorEastAsia"/>
                <w:sz w:val="18"/>
                <w:szCs w:val="18"/>
              </w:rPr>
              <w:t>3km×3km</w:t>
            </w:r>
          </w:p>
        </w:tc>
        <w:tc>
          <w:tcPr>
            <w:tcW w:w="533" w:type="pct"/>
            <w:vAlign w:val="center"/>
          </w:tcPr>
          <w:p w14:paraId="3403FF86">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186E75F3">
            <w:pPr>
              <w:jc w:val="left"/>
              <w:rPr>
                <w:rFonts w:cs="宋体" w:asciiTheme="minorEastAsia" w:hAnsiTheme="minorEastAsia"/>
                <w:sz w:val="18"/>
                <w:szCs w:val="18"/>
                <w:vertAlign w:val="superscript"/>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宋体" w:asciiTheme="minorEastAsia" w:hAnsiTheme="minorEastAsia"/>
                <w:sz w:val="18"/>
                <w:szCs w:val="18"/>
                <w:vertAlign w:val="superscript"/>
              </w:rPr>
              <w:t>90</w:t>
            </w:r>
            <w:r>
              <w:rPr>
                <w:rFonts w:hint="eastAsia" w:cs="宋体" w:asciiTheme="minorEastAsia" w:hAnsiTheme="minorEastAsia"/>
                <w:sz w:val="18"/>
                <w:szCs w:val="18"/>
              </w:rPr>
              <w:t>Sr、</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973" w:type="pct"/>
            <w:vAlign w:val="center"/>
          </w:tcPr>
          <w:p w14:paraId="60AF9C94">
            <w:pPr>
              <w:jc w:val="center"/>
              <w:rPr>
                <w:rFonts w:cs="宋体" w:asciiTheme="minorEastAsia" w:hAnsiTheme="minorEastAsia"/>
                <w:sz w:val="18"/>
                <w:szCs w:val="18"/>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宋体" w:asciiTheme="minorEastAsia" w:hAnsiTheme="minorEastAsia"/>
                <w:sz w:val="18"/>
                <w:szCs w:val="18"/>
                <w:vertAlign w:val="superscript"/>
              </w:rPr>
              <w:t>90</w:t>
            </w:r>
            <w:r>
              <w:rPr>
                <w:rFonts w:hint="eastAsia" w:cs="宋体" w:asciiTheme="minorEastAsia" w:hAnsiTheme="minorEastAsia"/>
                <w:sz w:val="18"/>
                <w:szCs w:val="18"/>
              </w:rPr>
              <w:t>Sr、</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Cs、总α、总β</w:t>
            </w:r>
          </w:p>
        </w:tc>
        <w:tc>
          <w:tcPr>
            <w:tcW w:w="616" w:type="pct"/>
            <w:vAlign w:val="center"/>
          </w:tcPr>
          <w:p w14:paraId="4C16C789">
            <w:pPr>
              <w:jc w:val="center"/>
              <w:rPr>
                <w:rFonts w:cs="宋体" w:asciiTheme="minorEastAsia" w:hAnsiTheme="minorEastAsia"/>
                <w:sz w:val="18"/>
                <w:szCs w:val="18"/>
              </w:rPr>
            </w:pPr>
            <w:r>
              <w:rPr>
                <w:rFonts w:hint="eastAsia" w:cs="宋体" w:asciiTheme="minorEastAsia" w:hAnsiTheme="minorEastAsia"/>
                <w:sz w:val="18"/>
                <w:szCs w:val="18"/>
              </w:rPr>
              <w:t>气溶胶</w:t>
            </w: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cs="宋体" w:asciiTheme="minorEastAsia" w:hAnsiTheme="minorEastAsia"/>
                <w:sz w:val="18"/>
                <w:szCs w:val="18"/>
                <w:vertAlign w:val="superscript"/>
              </w:rPr>
              <w:t>7</w:t>
            </w:r>
            <w:r>
              <w:rPr>
                <w:rFonts w:hint="eastAsia" w:cs="宋体" w:asciiTheme="minorEastAsia" w:hAnsiTheme="minorEastAsia"/>
                <w:sz w:val="18"/>
                <w:szCs w:val="18"/>
              </w:rPr>
              <w:t>Be、</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Cs、总α、总β</w:t>
            </w:r>
          </w:p>
        </w:tc>
        <w:tc>
          <w:tcPr>
            <w:tcW w:w="492" w:type="pct"/>
            <w:vAlign w:val="center"/>
          </w:tcPr>
          <w:p w14:paraId="20F1B095">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591C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007B95D1">
            <w:pPr>
              <w:jc w:val="center"/>
              <w:rPr>
                <w:rFonts w:cs="宋体" w:asciiTheme="minorEastAsia" w:hAnsiTheme="minorEastAsia"/>
                <w:sz w:val="18"/>
                <w:szCs w:val="18"/>
              </w:rPr>
            </w:pPr>
            <w:r>
              <w:rPr>
                <w:rFonts w:hint="eastAsia" w:cs="宋体" w:asciiTheme="minorEastAsia" w:hAnsiTheme="minorEastAsia"/>
                <w:sz w:val="18"/>
                <w:szCs w:val="18"/>
              </w:rPr>
              <w:t>成都经济区天然放射性环境评价（2009）</w:t>
            </w:r>
          </w:p>
        </w:tc>
        <w:tc>
          <w:tcPr>
            <w:tcW w:w="457" w:type="pct"/>
            <w:vAlign w:val="center"/>
          </w:tcPr>
          <w:p w14:paraId="00BB0AEA">
            <w:pPr>
              <w:jc w:val="center"/>
              <w:rPr>
                <w:rFonts w:cs="宋体" w:asciiTheme="minorEastAsia" w:hAnsiTheme="minorEastAsia"/>
                <w:sz w:val="18"/>
                <w:szCs w:val="18"/>
              </w:rPr>
            </w:pPr>
            <w:r>
              <w:rPr>
                <w:rFonts w:cs="宋体" w:asciiTheme="minorEastAsia" w:hAnsiTheme="minorEastAsia"/>
                <w:sz w:val="18"/>
                <w:szCs w:val="18"/>
              </w:rPr>
              <w:t>4km×4km</w:t>
            </w:r>
          </w:p>
        </w:tc>
        <w:tc>
          <w:tcPr>
            <w:tcW w:w="533" w:type="pct"/>
            <w:vAlign w:val="center"/>
          </w:tcPr>
          <w:p w14:paraId="202F34F1">
            <w:pPr>
              <w:jc w:val="center"/>
              <w:rPr>
                <w:rFonts w:cs="宋体" w:asciiTheme="minorEastAsia" w:hAnsiTheme="minorEastAsia"/>
                <w:sz w:val="18"/>
                <w:szCs w:val="18"/>
              </w:rPr>
            </w:pPr>
            <w:r>
              <w:rPr>
                <w:rFonts w:hint="eastAsia" w:cs="宋体" w:asciiTheme="minorEastAsia" w:hAnsiTheme="minorEastAsia"/>
                <w:sz w:val="18"/>
                <w:szCs w:val="18"/>
              </w:rPr>
              <w:t>γ辐射空气吸收剂量率（计算值）</w:t>
            </w:r>
          </w:p>
        </w:tc>
        <w:tc>
          <w:tcPr>
            <w:tcW w:w="840" w:type="pct"/>
            <w:vAlign w:val="center"/>
          </w:tcPr>
          <w:p w14:paraId="4E0EB600">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25690909">
            <w:pPr>
              <w:jc w:val="center"/>
              <w:rPr>
                <w:rFonts w:cs="宋体" w:asciiTheme="minorEastAsia" w:hAnsiTheme="minorEastAsia"/>
                <w:sz w:val="18"/>
                <w:szCs w:val="18"/>
                <w:vertAlign w:val="superscript"/>
              </w:rPr>
            </w:pPr>
            <w:r>
              <w:rPr>
                <w:rFonts w:hint="eastAsia" w:cs="宋体" w:asciiTheme="minorEastAsia" w:hAnsiTheme="minorEastAsia"/>
                <w:sz w:val="18"/>
                <w:szCs w:val="18"/>
              </w:rPr>
              <w:t>无</w:t>
            </w:r>
          </w:p>
        </w:tc>
        <w:tc>
          <w:tcPr>
            <w:tcW w:w="616" w:type="pct"/>
            <w:vAlign w:val="center"/>
          </w:tcPr>
          <w:p w14:paraId="498C7722">
            <w:pPr>
              <w:jc w:val="center"/>
              <w:rPr>
                <w:rFonts w:cs="宋体" w:asciiTheme="minorEastAsia" w:hAnsiTheme="minorEastAsia"/>
                <w:sz w:val="18"/>
                <w:szCs w:val="18"/>
              </w:rPr>
            </w:pPr>
            <w:r>
              <w:rPr>
                <w:rFonts w:hint="eastAsia" w:cs="宋体" w:asciiTheme="minorEastAsia" w:hAnsiTheme="minorEastAsia"/>
                <w:sz w:val="18"/>
                <w:szCs w:val="18"/>
              </w:rPr>
              <w:t>无</w:t>
            </w:r>
          </w:p>
        </w:tc>
        <w:tc>
          <w:tcPr>
            <w:tcW w:w="492" w:type="pct"/>
            <w:vAlign w:val="center"/>
          </w:tcPr>
          <w:p w14:paraId="2CC33D87">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3E5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6DAC72FB">
            <w:pPr>
              <w:jc w:val="center"/>
              <w:rPr>
                <w:rFonts w:cs="宋体" w:asciiTheme="minorEastAsia" w:hAnsiTheme="minorEastAsia"/>
                <w:sz w:val="18"/>
                <w:szCs w:val="18"/>
              </w:rPr>
            </w:pPr>
            <w:r>
              <w:rPr>
                <w:rFonts w:hint="eastAsia" w:cs="宋体" w:asciiTheme="minorEastAsia" w:hAnsiTheme="minorEastAsia"/>
                <w:sz w:val="18"/>
                <w:szCs w:val="18"/>
              </w:rPr>
              <w:t>南通市土壤放射性环境本底调查（2013）</w:t>
            </w:r>
          </w:p>
        </w:tc>
        <w:tc>
          <w:tcPr>
            <w:tcW w:w="457" w:type="pct"/>
            <w:vAlign w:val="center"/>
          </w:tcPr>
          <w:p w14:paraId="0BC3FD33">
            <w:pPr>
              <w:jc w:val="center"/>
              <w:rPr>
                <w:rFonts w:cs="宋体" w:asciiTheme="minorEastAsia" w:hAnsiTheme="minorEastAsia"/>
                <w:sz w:val="18"/>
                <w:szCs w:val="18"/>
              </w:rPr>
            </w:pPr>
            <w:r>
              <w:rPr>
                <w:rFonts w:cs="宋体" w:asciiTheme="minorEastAsia" w:hAnsiTheme="minorEastAsia"/>
                <w:sz w:val="18"/>
                <w:szCs w:val="18"/>
              </w:rPr>
              <w:t>2 km×2 km</w:t>
            </w:r>
          </w:p>
        </w:tc>
        <w:tc>
          <w:tcPr>
            <w:tcW w:w="533" w:type="pct"/>
            <w:vAlign w:val="center"/>
          </w:tcPr>
          <w:p w14:paraId="78D5444C">
            <w:pPr>
              <w:jc w:val="center"/>
              <w:rPr>
                <w:rFonts w:cs="宋体" w:asciiTheme="minorEastAsia" w:hAnsiTheme="minorEastAsia"/>
                <w:sz w:val="18"/>
                <w:szCs w:val="18"/>
              </w:rPr>
            </w:pPr>
            <w:r>
              <w:rPr>
                <w:rFonts w:hint="eastAsia" w:cs="宋体" w:asciiTheme="minorEastAsia" w:hAnsiTheme="minorEastAsia"/>
                <w:sz w:val="18"/>
                <w:szCs w:val="18"/>
              </w:rPr>
              <w:t>γ辐射空气吸收剂量率（计算值）</w:t>
            </w:r>
          </w:p>
        </w:tc>
        <w:tc>
          <w:tcPr>
            <w:tcW w:w="840" w:type="pct"/>
            <w:vAlign w:val="center"/>
          </w:tcPr>
          <w:p w14:paraId="28AA0F59">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973" w:type="pct"/>
            <w:vAlign w:val="center"/>
          </w:tcPr>
          <w:p w14:paraId="1F1B8700">
            <w:pPr>
              <w:jc w:val="center"/>
              <w:rPr>
                <w:rFonts w:cs="宋体" w:asciiTheme="minorEastAsia" w:hAnsiTheme="minorEastAsia"/>
                <w:sz w:val="18"/>
                <w:szCs w:val="18"/>
                <w:vertAlign w:val="superscript"/>
              </w:rPr>
            </w:pPr>
            <w:r>
              <w:rPr>
                <w:rFonts w:hint="eastAsia" w:cs="宋体" w:asciiTheme="minorEastAsia" w:hAnsiTheme="minorEastAsia"/>
                <w:sz w:val="18"/>
                <w:szCs w:val="18"/>
              </w:rPr>
              <w:t>无</w:t>
            </w:r>
          </w:p>
        </w:tc>
        <w:tc>
          <w:tcPr>
            <w:tcW w:w="616" w:type="pct"/>
            <w:vAlign w:val="center"/>
          </w:tcPr>
          <w:p w14:paraId="7E16D147">
            <w:pPr>
              <w:jc w:val="center"/>
              <w:rPr>
                <w:rFonts w:cs="宋体" w:asciiTheme="minorEastAsia" w:hAnsiTheme="minorEastAsia"/>
                <w:sz w:val="18"/>
                <w:szCs w:val="18"/>
              </w:rPr>
            </w:pPr>
            <w:r>
              <w:rPr>
                <w:rFonts w:hint="eastAsia" w:cs="宋体" w:asciiTheme="minorEastAsia" w:hAnsiTheme="minorEastAsia"/>
                <w:sz w:val="18"/>
                <w:szCs w:val="18"/>
              </w:rPr>
              <w:t>无</w:t>
            </w:r>
          </w:p>
        </w:tc>
        <w:tc>
          <w:tcPr>
            <w:tcW w:w="492" w:type="pct"/>
            <w:vAlign w:val="center"/>
          </w:tcPr>
          <w:p w14:paraId="4C679F88">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3123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CD9B561">
            <w:pPr>
              <w:jc w:val="center"/>
              <w:rPr>
                <w:rFonts w:cs="宋体" w:asciiTheme="minorEastAsia" w:hAnsiTheme="minorEastAsia"/>
                <w:sz w:val="18"/>
                <w:szCs w:val="18"/>
              </w:rPr>
            </w:pPr>
            <w:r>
              <w:rPr>
                <w:rFonts w:hint="eastAsia" w:cs="宋体" w:asciiTheme="minorEastAsia" w:hAnsiTheme="minorEastAsia"/>
                <w:sz w:val="18"/>
                <w:szCs w:val="18"/>
              </w:rPr>
              <w:t>包头市城区环境放射性水平评估研究（2015）</w:t>
            </w:r>
          </w:p>
        </w:tc>
        <w:tc>
          <w:tcPr>
            <w:tcW w:w="457" w:type="pct"/>
            <w:vAlign w:val="center"/>
          </w:tcPr>
          <w:p w14:paraId="2F3392BA">
            <w:pPr>
              <w:jc w:val="center"/>
              <w:rPr>
                <w:rFonts w:cs="宋体" w:asciiTheme="minorEastAsia" w:hAnsiTheme="minorEastAsia"/>
                <w:sz w:val="18"/>
                <w:szCs w:val="18"/>
              </w:rPr>
            </w:pPr>
            <w:r>
              <w:rPr>
                <w:rFonts w:hint="eastAsia" w:cs="宋体" w:asciiTheme="minorEastAsia" w:hAnsiTheme="minorEastAsia"/>
                <w:sz w:val="18"/>
                <w:szCs w:val="18"/>
              </w:rPr>
              <w:t>指定点</w:t>
            </w:r>
          </w:p>
        </w:tc>
        <w:tc>
          <w:tcPr>
            <w:tcW w:w="533" w:type="pct"/>
            <w:vAlign w:val="center"/>
          </w:tcPr>
          <w:p w14:paraId="670FFE76">
            <w:pPr>
              <w:jc w:val="center"/>
              <w:rPr>
                <w:rFonts w:cs="宋体" w:asciiTheme="minorEastAsia" w:hAnsiTheme="minorEastAsia"/>
                <w:sz w:val="18"/>
                <w:szCs w:val="18"/>
              </w:rPr>
            </w:pPr>
            <w:r>
              <w:rPr>
                <w:rFonts w:hint="eastAsia" w:cs="宋体" w:asciiTheme="minorEastAsia" w:hAnsiTheme="minorEastAsia"/>
                <w:sz w:val="18"/>
                <w:szCs w:val="18"/>
              </w:rPr>
              <w:t>γ辐射空气吸收剂量率、γ辐射累积剂量</w:t>
            </w:r>
          </w:p>
        </w:tc>
        <w:tc>
          <w:tcPr>
            <w:tcW w:w="840" w:type="pct"/>
            <w:vAlign w:val="center"/>
          </w:tcPr>
          <w:p w14:paraId="6BA1E5DB">
            <w:pPr>
              <w:jc w:val="center"/>
              <w:rPr>
                <w:rFonts w:cs="宋体" w:asciiTheme="minorEastAsia" w:hAnsiTheme="minorEastAsia"/>
                <w:sz w:val="18"/>
                <w:szCs w:val="18"/>
                <w:vertAlign w:val="superscript"/>
              </w:rPr>
            </w:pPr>
            <w:r>
              <w:rPr>
                <w:rFonts w:hint="eastAsia" w:cs="宋体" w:asciiTheme="minorEastAsia" w:hAnsiTheme="minorEastAsia"/>
                <w:sz w:val="18"/>
                <w:szCs w:val="18"/>
              </w:rPr>
              <w:t>无</w:t>
            </w:r>
          </w:p>
        </w:tc>
        <w:tc>
          <w:tcPr>
            <w:tcW w:w="973" w:type="pct"/>
            <w:vAlign w:val="center"/>
          </w:tcPr>
          <w:p w14:paraId="3CFBFF77">
            <w:pPr>
              <w:jc w:val="center"/>
              <w:rPr>
                <w:rFonts w:cs="宋体" w:asciiTheme="minorEastAsia" w:hAnsiTheme="minorEastAsia"/>
                <w:sz w:val="18"/>
                <w:szCs w:val="18"/>
              </w:rPr>
            </w:pPr>
            <w:r>
              <w:rPr>
                <w:rFonts w:hint="eastAsia" w:cs="宋体" w:asciiTheme="minorEastAsia" w:hAnsiTheme="minorEastAsia"/>
                <w:sz w:val="18"/>
                <w:szCs w:val="18"/>
              </w:rPr>
              <w:t>无</w:t>
            </w:r>
          </w:p>
        </w:tc>
        <w:tc>
          <w:tcPr>
            <w:tcW w:w="616" w:type="pct"/>
            <w:vAlign w:val="center"/>
          </w:tcPr>
          <w:p w14:paraId="2A844A47">
            <w:pPr>
              <w:jc w:val="center"/>
              <w:rPr>
                <w:rFonts w:cs="宋体" w:asciiTheme="minorEastAsia" w:hAnsiTheme="minorEastAsia"/>
                <w:sz w:val="18"/>
                <w:szCs w:val="18"/>
              </w:rPr>
            </w:pPr>
            <w:r>
              <w:rPr>
                <w:rFonts w:hint="eastAsia" w:cs="宋体" w:asciiTheme="minorEastAsia" w:hAnsiTheme="minorEastAsia"/>
                <w:sz w:val="18"/>
                <w:szCs w:val="18"/>
              </w:rPr>
              <w:t>氡气、钍射气及其子体、气溶胶中氡子体Ot潜能值</w:t>
            </w:r>
          </w:p>
        </w:tc>
        <w:tc>
          <w:tcPr>
            <w:tcW w:w="492" w:type="pct"/>
            <w:vAlign w:val="center"/>
          </w:tcPr>
          <w:p w14:paraId="30225BA9">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0670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30B650DE">
            <w:pPr>
              <w:jc w:val="center"/>
              <w:rPr>
                <w:rFonts w:cs="宋体" w:asciiTheme="minorEastAsia" w:hAnsiTheme="minorEastAsia"/>
                <w:sz w:val="18"/>
                <w:szCs w:val="18"/>
              </w:rPr>
            </w:pPr>
            <w:r>
              <w:rPr>
                <w:rFonts w:hint="eastAsia" w:cs="宋体" w:asciiTheme="minorEastAsia" w:hAnsiTheme="minorEastAsia"/>
                <w:sz w:val="18"/>
                <w:szCs w:val="18"/>
              </w:rPr>
              <w:t>天津市宝坻区天然放射性水平评价研究（2016）</w:t>
            </w:r>
          </w:p>
        </w:tc>
        <w:tc>
          <w:tcPr>
            <w:tcW w:w="457" w:type="pct"/>
            <w:vAlign w:val="center"/>
          </w:tcPr>
          <w:p w14:paraId="101AA922">
            <w:pPr>
              <w:jc w:val="center"/>
              <w:rPr>
                <w:rFonts w:cs="宋体" w:asciiTheme="minorEastAsia" w:hAnsiTheme="minorEastAsia"/>
                <w:sz w:val="18"/>
                <w:szCs w:val="18"/>
              </w:rPr>
            </w:pPr>
            <w:r>
              <w:rPr>
                <w:rFonts w:cs="宋体" w:asciiTheme="minorEastAsia" w:hAnsiTheme="minorEastAsia"/>
                <w:sz w:val="18"/>
                <w:szCs w:val="18"/>
              </w:rPr>
              <w:t>1km×1km</w:t>
            </w:r>
          </w:p>
        </w:tc>
        <w:tc>
          <w:tcPr>
            <w:tcW w:w="533" w:type="pct"/>
            <w:vAlign w:val="center"/>
          </w:tcPr>
          <w:p w14:paraId="5D490F04">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56D1F966">
            <w:pPr>
              <w:jc w:val="left"/>
              <w:rPr>
                <w:rFonts w:cs="宋体" w:asciiTheme="minorEastAsia" w:hAnsiTheme="minorEastAsia"/>
                <w:sz w:val="18"/>
                <w:szCs w:val="18"/>
                <w:vertAlign w:val="superscript"/>
              </w:rPr>
            </w:pP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p>
        </w:tc>
        <w:tc>
          <w:tcPr>
            <w:tcW w:w="973" w:type="pct"/>
            <w:vAlign w:val="center"/>
          </w:tcPr>
          <w:p w14:paraId="50599BF0">
            <w:pPr>
              <w:jc w:val="left"/>
              <w:rPr>
                <w:rFonts w:cs="宋体" w:asciiTheme="minorEastAsia" w:hAnsiTheme="minorEastAsia"/>
                <w:sz w:val="18"/>
                <w:szCs w:val="18"/>
              </w:rPr>
            </w:pP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K、水中氡浓度</w:t>
            </w:r>
          </w:p>
        </w:tc>
        <w:tc>
          <w:tcPr>
            <w:tcW w:w="616" w:type="pct"/>
            <w:vAlign w:val="center"/>
          </w:tcPr>
          <w:p w14:paraId="18C036E2">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210636C6">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4DF2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2F5BF2CE">
            <w:pPr>
              <w:rPr>
                <w:rFonts w:cs="宋体" w:asciiTheme="minorEastAsia" w:hAnsiTheme="minorEastAsia"/>
                <w:sz w:val="18"/>
                <w:szCs w:val="18"/>
              </w:rPr>
            </w:pPr>
            <w:r>
              <w:rPr>
                <w:rFonts w:hint="eastAsia" w:cs="宋体" w:asciiTheme="minorEastAsia" w:hAnsiTheme="minorEastAsia"/>
                <w:sz w:val="18"/>
                <w:szCs w:val="18"/>
              </w:rPr>
              <w:t>江西省鄱阳湖生态经济区天然放射性环境调查与评价（2017）</w:t>
            </w:r>
          </w:p>
        </w:tc>
        <w:tc>
          <w:tcPr>
            <w:tcW w:w="457" w:type="pct"/>
            <w:vAlign w:val="center"/>
          </w:tcPr>
          <w:p w14:paraId="1BA5EA3A">
            <w:pPr>
              <w:jc w:val="center"/>
              <w:rPr>
                <w:rFonts w:cs="宋体" w:asciiTheme="minorEastAsia" w:hAnsiTheme="minorEastAsia"/>
                <w:sz w:val="18"/>
                <w:szCs w:val="18"/>
              </w:rPr>
            </w:pPr>
            <w:r>
              <w:rPr>
                <w:rFonts w:cs="宋体" w:asciiTheme="minorEastAsia" w:hAnsiTheme="minorEastAsia"/>
                <w:sz w:val="18"/>
                <w:szCs w:val="18"/>
              </w:rPr>
              <w:t>16km×16km</w:t>
            </w:r>
          </w:p>
          <w:p w14:paraId="3CF58DEC">
            <w:pPr>
              <w:jc w:val="center"/>
              <w:rPr>
                <w:rFonts w:cs="宋体" w:asciiTheme="minorEastAsia" w:hAnsiTheme="minorEastAsia"/>
                <w:sz w:val="18"/>
                <w:szCs w:val="18"/>
              </w:rPr>
            </w:pPr>
            <w:r>
              <w:rPr>
                <w:rFonts w:cs="宋体" w:asciiTheme="minorEastAsia" w:hAnsiTheme="minorEastAsia"/>
                <w:sz w:val="18"/>
                <w:szCs w:val="18"/>
              </w:rPr>
              <w:t>8km×8km</w:t>
            </w:r>
          </w:p>
          <w:p w14:paraId="757EA0A7">
            <w:pPr>
              <w:jc w:val="center"/>
              <w:rPr>
                <w:rFonts w:cs="宋体" w:asciiTheme="minorEastAsia" w:hAnsiTheme="minorEastAsia"/>
                <w:sz w:val="18"/>
                <w:szCs w:val="18"/>
              </w:rPr>
            </w:pPr>
            <w:r>
              <w:rPr>
                <w:rFonts w:cs="宋体" w:asciiTheme="minorEastAsia" w:hAnsiTheme="minorEastAsia"/>
                <w:sz w:val="18"/>
                <w:szCs w:val="18"/>
              </w:rPr>
              <w:t>2km×2km</w:t>
            </w:r>
          </w:p>
        </w:tc>
        <w:tc>
          <w:tcPr>
            <w:tcW w:w="533" w:type="pct"/>
            <w:vAlign w:val="center"/>
          </w:tcPr>
          <w:p w14:paraId="15E61304">
            <w:pP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36744D1B">
            <w:pPr>
              <w:rPr>
                <w:rFonts w:cs="宋体" w:asciiTheme="minorEastAsia" w:hAnsiTheme="minorEastAsia"/>
                <w:sz w:val="18"/>
                <w:szCs w:val="18"/>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26BED7AE">
            <w:pPr>
              <w:rPr>
                <w:rFonts w:cs="宋体" w:asciiTheme="minorEastAsia" w:hAnsiTheme="minorEastAsia"/>
                <w:sz w:val="18"/>
                <w:szCs w:val="18"/>
              </w:rPr>
            </w:pP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w:t>
            </w:r>
          </w:p>
        </w:tc>
        <w:tc>
          <w:tcPr>
            <w:tcW w:w="616" w:type="pct"/>
            <w:vAlign w:val="center"/>
          </w:tcPr>
          <w:p w14:paraId="02650402">
            <w:pPr>
              <w:rPr>
                <w:rFonts w:cs="宋体" w:asciiTheme="minorEastAsia" w:hAnsiTheme="minorEastAsia"/>
                <w:sz w:val="18"/>
                <w:szCs w:val="18"/>
              </w:rPr>
            </w:pPr>
            <w:r>
              <w:rPr>
                <w:rFonts w:hint="eastAsia" w:cs="宋体" w:asciiTheme="minorEastAsia" w:hAnsiTheme="minorEastAsia"/>
                <w:sz w:val="18"/>
                <w:szCs w:val="18"/>
              </w:rPr>
              <w:t>氡浓度</w:t>
            </w:r>
          </w:p>
        </w:tc>
        <w:tc>
          <w:tcPr>
            <w:tcW w:w="492" w:type="pct"/>
            <w:vAlign w:val="center"/>
          </w:tcPr>
          <w:p w14:paraId="78577360">
            <w:pPr>
              <w:rPr>
                <w:rFonts w:cs="宋体" w:asciiTheme="minorEastAsia" w:hAnsiTheme="minorEastAsia"/>
                <w:sz w:val="18"/>
                <w:szCs w:val="18"/>
              </w:rPr>
            </w:pPr>
            <w:r>
              <w:rPr>
                <w:rFonts w:cs="宋体" w:asciiTheme="minorEastAsia" w:hAnsiTheme="minorEastAsia"/>
                <w:sz w:val="18"/>
                <w:szCs w:val="18"/>
              </w:rPr>
              <w:t>动植物</w:t>
            </w: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r>
      <w:tr w14:paraId="045D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2A3E195">
            <w:pPr>
              <w:jc w:val="center"/>
              <w:rPr>
                <w:rFonts w:cs="宋体" w:asciiTheme="minorEastAsia" w:hAnsiTheme="minorEastAsia"/>
                <w:sz w:val="18"/>
                <w:szCs w:val="18"/>
              </w:rPr>
            </w:pPr>
            <w:r>
              <w:rPr>
                <w:rFonts w:hint="eastAsia" w:cs="宋体" w:asciiTheme="minorEastAsia" w:hAnsiTheme="minorEastAsia"/>
                <w:sz w:val="18"/>
                <w:szCs w:val="18"/>
              </w:rPr>
              <w:t>湖北省天然放射性核素含量调查研究（2017）</w:t>
            </w:r>
          </w:p>
        </w:tc>
        <w:tc>
          <w:tcPr>
            <w:tcW w:w="457" w:type="pct"/>
            <w:vAlign w:val="center"/>
          </w:tcPr>
          <w:p w14:paraId="7F1FEAB1">
            <w:pPr>
              <w:jc w:val="center"/>
              <w:rPr>
                <w:rFonts w:cs="宋体" w:asciiTheme="minorEastAsia" w:hAnsiTheme="minorEastAsia"/>
                <w:sz w:val="18"/>
                <w:szCs w:val="18"/>
              </w:rPr>
            </w:pPr>
            <w:r>
              <w:rPr>
                <w:rFonts w:hint="eastAsia" w:cs="宋体" w:asciiTheme="minorEastAsia" w:hAnsiTheme="minorEastAsia"/>
                <w:sz w:val="18"/>
                <w:szCs w:val="18"/>
              </w:rPr>
              <w:t>指定点</w:t>
            </w:r>
          </w:p>
        </w:tc>
        <w:tc>
          <w:tcPr>
            <w:tcW w:w="533" w:type="pct"/>
            <w:vAlign w:val="center"/>
          </w:tcPr>
          <w:p w14:paraId="3411DCF5">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2C5675F3">
            <w:pPr>
              <w:jc w:val="left"/>
              <w:rPr>
                <w:rFonts w:cs="宋体" w:asciiTheme="minorEastAsia" w:hAnsiTheme="minorEastAsia"/>
                <w:sz w:val="18"/>
                <w:szCs w:val="18"/>
                <w:vertAlign w:val="superscript"/>
              </w:rPr>
            </w:pP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宋体" w:asciiTheme="minorEastAsia" w:hAnsiTheme="minorEastAsia"/>
                <w:sz w:val="18"/>
                <w:szCs w:val="18"/>
                <w:vertAlign w:val="superscript"/>
              </w:rPr>
              <w:t>90</w:t>
            </w:r>
            <w:r>
              <w:rPr>
                <w:rFonts w:hint="eastAsia" w:cs="宋体" w:asciiTheme="minorEastAsia" w:hAnsiTheme="minorEastAsia"/>
                <w:sz w:val="18"/>
                <w:szCs w:val="18"/>
              </w:rPr>
              <w:t>Sr、</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973" w:type="pct"/>
            <w:vAlign w:val="center"/>
          </w:tcPr>
          <w:p w14:paraId="0BF7C80B">
            <w:pPr>
              <w:jc w:val="left"/>
              <w:rPr>
                <w:rFonts w:cs="宋体" w:asciiTheme="minorEastAsia" w:hAnsiTheme="minorEastAsia"/>
                <w:sz w:val="18"/>
                <w:szCs w:val="18"/>
              </w:rPr>
            </w:pP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w:t>
            </w:r>
            <w:r>
              <w:rPr>
                <w:rFonts w:hint="eastAsia" w:cs="宋体" w:asciiTheme="minorEastAsia" w:hAnsiTheme="minorEastAsia"/>
                <w:sz w:val="18"/>
                <w:szCs w:val="18"/>
                <w:vertAlign w:val="superscript"/>
              </w:rPr>
              <w:t>90</w:t>
            </w:r>
            <w:r>
              <w:rPr>
                <w:rFonts w:hint="eastAsia" w:cs="宋体" w:asciiTheme="minorEastAsia" w:hAnsiTheme="minorEastAsia"/>
                <w:sz w:val="18"/>
                <w:szCs w:val="18"/>
              </w:rPr>
              <w:t>Sr、</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616" w:type="pct"/>
            <w:vAlign w:val="center"/>
          </w:tcPr>
          <w:p w14:paraId="3BC1FC87">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1C01992B">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6A01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B2C1D95">
            <w:pPr>
              <w:jc w:val="center"/>
              <w:rPr>
                <w:rFonts w:cs="宋体" w:asciiTheme="minorEastAsia" w:hAnsiTheme="minorEastAsia"/>
                <w:sz w:val="18"/>
                <w:szCs w:val="18"/>
              </w:rPr>
            </w:pPr>
            <w:r>
              <w:rPr>
                <w:rFonts w:hint="eastAsia" w:cs="宋体" w:asciiTheme="minorEastAsia" w:hAnsiTheme="minorEastAsia"/>
                <w:sz w:val="18"/>
                <w:szCs w:val="18"/>
              </w:rPr>
              <w:t>岳阳市天然电离辐射环境调查（2017）</w:t>
            </w:r>
          </w:p>
        </w:tc>
        <w:tc>
          <w:tcPr>
            <w:tcW w:w="457" w:type="pct"/>
            <w:vAlign w:val="center"/>
          </w:tcPr>
          <w:p w14:paraId="4E05199B">
            <w:pPr>
              <w:jc w:val="center"/>
              <w:rPr>
                <w:rFonts w:cs="宋体" w:asciiTheme="minorEastAsia" w:hAnsiTheme="minorEastAsia"/>
                <w:sz w:val="18"/>
                <w:szCs w:val="18"/>
              </w:rPr>
            </w:pPr>
            <w:r>
              <w:rPr>
                <w:rFonts w:cs="宋体" w:asciiTheme="minorEastAsia" w:hAnsiTheme="minorEastAsia"/>
                <w:sz w:val="18"/>
                <w:szCs w:val="18"/>
              </w:rPr>
              <w:t>指定点</w:t>
            </w:r>
          </w:p>
        </w:tc>
        <w:tc>
          <w:tcPr>
            <w:tcW w:w="533" w:type="pct"/>
            <w:vAlign w:val="center"/>
          </w:tcPr>
          <w:p w14:paraId="0677AB22">
            <w:pPr>
              <w:jc w:val="center"/>
              <w:rPr>
                <w:rFonts w:cs="宋体" w:asciiTheme="minorEastAsia" w:hAnsiTheme="minorEastAsia"/>
                <w:sz w:val="18"/>
                <w:szCs w:val="18"/>
              </w:rPr>
            </w:pPr>
            <w:r>
              <w:rPr>
                <w:rFonts w:hint="eastAsia" w:cs="宋体" w:asciiTheme="minorEastAsia" w:hAnsiTheme="minorEastAsia"/>
                <w:sz w:val="18"/>
                <w:szCs w:val="18"/>
              </w:rPr>
              <w:t>γ辐射空气吸收剂量率、γ辐射累积剂量</w:t>
            </w:r>
          </w:p>
        </w:tc>
        <w:tc>
          <w:tcPr>
            <w:tcW w:w="840" w:type="pct"/>
            <w:vAlign w:val="center"/>
          </w:tcPr>
          <w:p w14:paraId="37ECEE33">
            <w:pPr>
              <w:jc w:val="left"/>
              <w:rPr>
                <w:rFonts w:cs="宋体" w:asciiTheme="minorEastAsia" w:hAnsiTheme="minorEastAsia"/>
                <w:sz w:val="18"/>
                <w:szCs w:val="18"/>
                <w:vertAlign w:val="superscript"/>
              </w:rPr>
            </w:pP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177AF2DF">
            <w:pPr>
              <w:jc w:val="left"/>
              <w:rPr>
                <w:rFonts w:cs="宋体" w:asciiTheme="minorEastAsia" w:hAnsiTheme="minorEastAsia"/>
                <w:sz w:val="18"/>
                <w:szCs w:val="18"/>
              </w:rPr>
            </w:pP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w:t>
            </w:r>
          </w:p>
        </w:tc>
        <w:tc>
          <w:tcPr>
            <w:tcW w:w="616" w:type="pct"/>
            <w:vAlign w:val="center"/>
          </w:tcPr>
          <w:p w14:paraId="62C40E68">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16698ADE">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5809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270DAE96">
            <w:pPr>
              <w:jc w:val="center"/>
              <w:rPr>
                <w:rFonts w:cs="宋体" w:asciiTheme="minorEastAsia" w:hAnsiTheme="minorEastAsia"/>
                <w:sz w:val="18"/>
                <w:szCs w:val="18"/>
              </w:rPr>
            </w:pPr>
            <w:r>
              <w:rPr>
                <w:rFonts w:hint="eastAsia" w:cs="宋体" w:asciiTheme="minorEastAsia" w:hAnsiTheme="minorEastAsia"/>
                <w:sz w:val="18"/>
                <w:szCs w:val="18"/>
              </w:rPr>
              <w:t>大连市天然放射性辐射环境调查评价研究（2018）</w:t>
            </w:r>
          </w:p>
        </w:tc>
        <w:tc>
          <w:tcPr>
            <w:tcW w:w="457" w:type="pct"/>
            <w:vAlign w:val="center"/>
          </w:tcPr>
          <w:p w14:paraId="7DB292F3">
            <w:pPr>
              <w:jc w:val="center"/>
              <w:rPr>
                <w:rFonts w:cs="宋体" w:asciiTheme="minorEastAsia" w:hAnsiTheme="minorEastAsia"/>
                <w:sz w:val="18"/>
                <w:szCs w:val="18"/>
              </w:rPr>
            </w:pPr>
            <w:r>
              <w:rPr>
                <w:rFonts w:hint="eastAsia" w:cs="宋体" w:asciiTheme="minorEastAsia" w:hAnsiTheme="minorEastAsia"/>
                <w:sz w:val="18"/>
                <w:szCs w:val="18"/>
              </w:rPr>
              <w:t>2个点/Km</w:t>
            </w:r>
            <w:r>
              <w:rPr>
                <w:rFonts w:hint="eastAsia" w:cs="宋体" w:asciiTheme="minorEastAsia" w:hAnsiTheme="minorEastAsia"/>
                <w:sz w:val="18"/>
                <w:szCs w:val="18"/>
                <w:vertAlign w:val="superscript"/>
              </w:rPr>
              <w:t>2</w:t>
            </w:r>
          </w:p>
        </w:tc>
        <w:tc>
          <w:tcPr>
            <w:tcW w:w="533" w:type="pct"/>
            <w:vAlign w:val="center"/>
          </w:tcPr>
          <w:p w14:paraId="52EF750D">
            <w:pPr>
              <w:jc w:val="center"/>
              <w:rPr>
                <w:rFonts w:cs="宋体" w:asciiTheme="minorEastAsia" w:hAnsiTheme="minorEastAsia"/>
                <w:sz w:val="18"/>
                <w:szCs w:val="18"/>
              </w:rPr>
            </w:pPr>
            <w:r>
              <w:rPr>
                <w:rFonts w:hint="eastAsia" w:cs="宋体" w:asciiTheme="minorEastAsia" w:hAnsiTheme="minorEastAsia"/>
                <w:sz w:val="18"/>
                <w:szCs w:val="18"/>
              </w:rPr>
              <w:t>γ辐射空气吸收剂量率（计算值）</w:t>
            </w:r>
          </w:p>
        </w:tc>
        <w:tc>
          <w:tcPr>
            <w:tcW w:w="840" w:type="pct"/>
            <w:vAlign w:val="center"/>
          </w:tcPr>
          <w:p w14:paraId="476A5547">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555671AA">
            <w:pPr>
              <w:jc w:val="left"/>
              <w:rPr>
                <w:rFonts w:cs="宋体" w:asciiTheme="minorEastAsia" w:hAnsiTheme="minorEastAsia"/>
                <w:sz w:val="18"/>
                <w:szCs w:val="18"/>
              </w:rPr>
            </w:pPr>
            <w:r>
              <w:rPr>
                <w:rFonts w:cs="宋体" w:asciiTheme="minorEastAsia" w:hAnsiTheme="minorEastAsia"/>
                <w:sz w:val="18"/>
                <w:szCs w:val="18"/>
              </w:rPr>
              <w:t>无</w:t>
            </w:r>
          </w:p>
        </w:tc>
        <w:tc>
          <w:tcPr>
            <w:tcW w:w="616" w:type="pct"/>
            <w:vAlign w:val="center"/>
          </w:tcPr>
          <w:p w14:paraId="70535DAC">
            <w:pPr>
              <w:jc w:val="center"/>
              <w:rPr>
                <w:rFonts w:cs="宋体" w:asciiTheme="minorEastAsia" w:hAnsiTheme="minorEastAsia"/>
                <w:sz w:val="18"/>
                <w:szCs w:val="18"/>
              </w:rPr>
            </w:pPr>
          </w:p>
        </w:tc>
        <w:tc>
          <w:tcPr>
            <w:tcW w:w="492" w:type="pct"/>
            <w:vAlign w:val="center"/>
          </w:tcPr>
          <w:p w14:paraId="493D844C">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3D99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62AF76E6">
            <w:pPr>
              <w:jc w:val="center"/>
              <w:rPr>
                <w:rFonts w:cs="宋体" w:asciiTheme="minorEastAsia" w:hAnsiTheme="minorEastAsia"/>
                <w:sz w:val="18"/>
                <w:szCs w:val="18"/>
              </w:rPr>
            </w:pPr>
            <w:r>
              <w:rPr>
                <w:rFonts w:hint="eastAsia" w:cs="宋体" w:asciiTheme="minorEastAsia" w:hAnsiTheme="minorEastAsia"/>
                <w:sz w:val="18"/>
                <w:szCs w:val="18"/>
              </w:rPr>
              <w:t>赣州市赣县区放射性地质环境调查评价（2018）</w:t>
            </w:r>
          </w:p>
        </w:tc>
        <w:tc>
          <w:tcPr>
            <w:tcW w:w="457" w:type="pct"/>
            <w:vAlign w:val="center"/>
          </w:tcPr>
          <w:p w14:paraId="313E2152">
            <w:pPr>
              <w:jc w:val="center"/>
              <w:rPr>
                <w:rFonts w:cs="宋体" w:asciiTheme="minorEastAsia" w:hAnsiTheme="minorEastAsia"/>
                <w:sz w:val="18"/>
                <w:szCs w:val="18"/>
              </w:rPr>
            </w:pPr>
            <w:r>
              <w:rPr>
                <w:rFonts w:cs="宋体" w:asciiTheme="minorEastAsia" w:hAnsiTheme="minorEastAsia"/>
                <w:sz w:val="18"/>
                <w:szCs w:val="18"/>
              </w:rPr>
              <w:t>2.5km×2.5km</w:t>
            </w:r>
          </w:p>
          <w:p w14:paraId="450458EB">
            <w:pPr>
              <w:jc w:val="center"/>
              <w:rPr>
                <w:rFonts w:cs="宋体" w:asciiTheme="minorEastAsia" w:hAnsiTheme="minorEastAsia"/>
                <w:sz w:val="18"/>
                <w:szCs w:val="18"/>
              </w:rPr>
            </w:pPr>
            <w:r>
              <w:rPr>
                <w:rFonts w:cs="宋体" w:asciiTheme="minorEastAsia" w:hAnsiTheme="minorEastAsia"/>
                <w:sz w:val="18"/>
                <w:szCs w:val="18"/>
              </w:rPr>
              <w:t>1km×1km</w:t>
            </w:r>
          </w:p>
        </w:tc>
        <w:tc>
          <w:tcPr>
            <w:tcW w:w="533" w:type="pct"/>
            <w:vAlign w:val="center"/>
          </w:tcPr>
          <w:p w14:paraId="00714E7E">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15DCF1B2">
            <w:pPr>
              <w:jc w:val="left"/>
              <w:rPr>
                <w:rFonts w:cs="宋体" w:asciiTheme="minorEastAsia" w:hAnsiTheme="minorEastAsia"/>
                <w:sz w:val="18"/>
                <w:szCs w:val="18"/>
              </w:rPr>
            </w:pPr>
            <w:r>
              <w:rPr>
                <w:rFonts w:cs="宋体" w:asciiTheme="minorEastAsia" w:hAnsiTheme="minorEastAsia"/>
                <w:sz w:val="18"/>
                <w:szCs w:val="18"/>
              </w:rPr>
              <w:t>无</w:t>
            </w:r>
          </w:p>
        </w:tc>
        <w:tc>
          <w:tcPr>
            <w:tcW w:w="973" w:type="pct"/>
            <w:vAlign w:val="center"/>
          </w:tcPr>
          <w:p w14:paraId="5830FCCD">
            <w:pPr>
              <w:jc w:val="left"/>
              <w:rPr>
                <w:rFonts w:cs="宋体" w:asciiTheme="minorEastAsia" w:hAnsiTheme="minorEastAsia"/>
                <w:sz w:val="18"/>
                <w:szCs w:val="18"/>
              </w:rPr>
            </w:pPr>
            <w:r>
              <w:rPr>
                <w:rFonts w:hint="eastAsia" w:cs="宋体" w:asciiTheme="minorEastAsia" w:hAnsiTheme="minorEastAsia"/>
                <w:sz w:val="18"/>
                <w:szCs w:val="18"/>
              </w:rPr>
              <w:t>U、</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Ra、总α、总β</w:t>
            </w:r>
          </w:p>
        </w:tc>
        <w:tc>
          <w:tcPr>
            <w:tcW w:w="616" w:type="pct"/>
            <w:vAlign w:val="center"/>
          </w:tcPr>
          <w:p w14:paraId="6A5F2038">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vAlign w:val="center"/>
          </w:tcPr>
          <w:p w14:paraId="5E640179">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6DD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4A36CE0F">
            <w:pPr>
              <w:jc w:val="center"/>
              <w:rPr>
                <w:rFonts w:cs="宋体" w:asciiTheme="minorEastAsia" w:hAnsiTheme="minorEastAsia"/>
                <w:sz w:val="18"/>
                <w:szCs w:val="18"/>
              </w:rPr>
            </w:pPr>
            <w:r>
              <w:rPr>
                <w:rFonts w:hint="eastAsia" w:cs="宋体" w:asciiTheme="minorEastAsia" w:hAnsiTheme="minorEastAsia"/>
                <w:sz w:val="18"/>
                <w:szCs w:val="18"/>
              </w:rPr>
              <w:t>五莲县中东部地区放射性环境地质调查（2018）</w:t>
            </w:r>
          </w:p>
        </w:tc>
        <w:tc>
          <w:tcPr>
            <w:tcW w:w="457" w:type="pct"/>
            <w:vAlign w:val="center"/>
          </w:tcPr>
          <w:p w14:paraId="2BD6C9C4">
            <w:pPr>
              <w:jc w:val="center"/>
              <w:rPr>
                <w:rFonts w:cs="宋体" w:asciiTheme="minorEastAsia" w:hAnsiTheme="minorEastAsia"/>
                <w:sz w:val="18"/>
                <w:szCs w:val="18"/>
              </w:rPr>
            </w:pPr>
            <w:r>
              <w:rPr>
                <w:rFonts w:cs="宋体" w:asciiTheme="minorEastAsia" w:hAnsiTheme="minorEastAsia"/>
                <w:sz w:val="18"/>
                <w:szCs w:val="18"/>
              </w:rPr>
              <w:t>500m×100m</w:t>
            </w:r>
          </w:p>
        </w:tc>
        <w:tc>
          <w:tcPr>
            <w:tcW w:w="533" w:type="pct"/>
            <w:vAlign w:val="center"/>
          </w:tcPr>
          <w:p w14:paraId="338BFDE6">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1C984257">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p>
        </w:tc>
        <w:tc>
          <w:tcPr>
            <w:tcW w:w="973" w:type="pct"/>
            <w:vAlign w:val="center"/>
          </w:tcPr>
          <w:p w14:paraId="1835B8A8">
            <w:pPr>
              <w:jc w:val="left"/>
              <w:rPr>
                <w:rFonts w:cs="宋体" w:asciiTheme="minorEastAsia" w:hAnsiTheme="minorEastAsia"/>
                <w:sz w:val="18"/>
                <w:szCs w:val="18"/>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616" w:type="pct"/>
            <w:vAlign w:val="center"/>
          </w:tcPr>
          <w:p w14:paraId="5FF9CF95">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0D9D7D12">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1772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7A6CAEB3">
            <w:pPr>
              <w:jc w:val="center"/>
              <w:rPr>
                <w:rFonts w:cs="宋体" w:asciiTheme="minorEastAsia" w:hAnsiTheme="minorEastAsia"/>
                <w:sz w:val="18"/>
                <w:szCs w:val="18"/>
              </w:rPr>
            </w:pPr>
            <w:r>
              <w:rPr>
                <w:rFonts w:hint="eastAsia" w:cs="宋体" w:asciiTheme="minorEastAsia" w:hAnsiTheme="minorEastAsia"/>
                <w:sz w:val="18"/>
                <w:szCs w:val="18"/>
              </w:rPr>
              <w:t>安徽省歙县石煤矿区天然放射性环境调查（2020）</w:t>
            </w:r>
          </w:p>
        </w:tc>
        <w:tc>
          <w:tcPr>
            <w:tcW w:w="457" w:type="pct"/>
            <w:vAlign w:val="center"/>
          </w:tcPr>
          <w:p w14:paraId="2E7490C1">
            <w:pPr>
              <w:jc w:val="center"/>
              <w:rPr>
                <w:rFonts w:cs="宋体" w:asciiTheme="minorEastAsia" w:hAnsiTheme="minorEastAsia"/>
                <w:sz w:val="18"/>
                <w:szCs w:val="18"/>
              </w:rPr>
            </w:pPr>
            <w:r>
              <w:rPr>
                <w:rFonts w:cs="宋体" w:asciiTheme="minorEastAsia" w:hAnsiTheme="minorEastAsia"/>
                <w:sz w:val="18"/>
                <w:szCs w:val="18"/>
              </w:rPr>
              <w:t>1km×1km</w:t>
            </w:r>
          </w:p>
        </w:tc>
        <w:tc>
          <w:tcPr>
            <w:tcW w:w="533" w:type="pct"/>
            <w:vAlign w:val="center"/>
          </w:tcPr>
          <w:p w14:paraId="3676F05B">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0BEF991F">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K，石煤、岩石、煤矸石</w:t>
            </w:r>
            <w:r>
              <w:rPr>
                <w:rFonts w:hint="eastAsia" w:cs="Times New Roman" w:asciiTheme="minorEastAsia" w:hAnsiTheme="minorEastAsia"/>
                <w:sz w:val="18"/>
                <w:szCs w:val="18"/>
              </w:rPr>
              <w:t>（</w:t>
            </w: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Times New Roman" w:asciiTheme="minorEastAsia" w:hAnsiTheme="minorEastAsia"/>
                <w:sz w:val="18"/>
                <w:szCs w:val="18"/>
              </w:rPr>
              <w:t>）</w:t>
            </w:r>
          </w:p>
        </w:tc>
        <w:tc>
          <w:tcPr>
            <w:tcW w:w="973" w:type="pct"/>
            <w:vAlign w:val="center"/>
          </w:tcPr>
          <w:p w14:paraId="01D1E75F">
            <w:pPr>
              <w:jc w:val="left"/>
              <w:rPr>
                <w:rFonts w:cs="宋体" w:asciiTheme="minorEastAsia" w:hAnsiTheme="minorEastAsia"/>
                <w:sz w:val="18"/>
                <w:szCs w:val="18"/>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w:t>
            </w:r>
          </w:p>
        </w:tc>
        <w:tc>
          <w:tcPr>
            <w:tcW w:w="616" w:type="pct"/>
            <w:vAlign w:val="center"/>
          </w:tcPr>
          <w:p w14:paraId="6CA5E853">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33CE9691">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5A7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3D2A28D8">
            <w:pPr>
              <w:jc w:val="center"/>
              <w:rPr>
                <w:rFonts w:cs="宋体" w:asciiTheme="minorEastAsia" w:hAnsiTheme="minorEastAsia"/>
                <w:sz w:val="18"/>
                <w:szCs w:val="18"/>
              </w:rPr>
            </w:pPr>
            <w:r>
              <w:rPr>
                <w:rFonts w:hint="eastAsia" w:cs="宋体" w:asciiTheme="minorEastAsia" w:hAnsiTheme="minorEastAsia"/>
                <w:sz w:val="18"/>
                <w:szCs w:val="18"/>
              </w:rPr>
              <w:t>“海澄文定”地区放射性地质环境调查（海口、文昌、澄迈、定安2020-2024）</w:t>
            </w:r>
          </w:p>
        </w:tc>
        <w:tc>
          <w:tcPr>
            <w:tcW w:w="457" w:type="pct"/>
            <w:vAlign w:val="center"/>
          </w:tcPr>
          <w:p w14:paraId="211B49B9">
            <w:pPr>
              <w:jc w:val="center"/>
              <w:rPr>
                <w:rFonts w:cs="宋体" w:asciiTheme="minorEastAsia" w:hAnsiTheme="minorEastAsia"/>
                <w:sz w:val="18"/>
                <w:szCs w:val="18"/>
              </w:rPr>
            </w:pPr>
            <w:r>
              <w:rPr>
                <w:rFonts w:cs="宋体" w:asciiTheme="minorEastAsia" w:hAnsiTheme="minorEastAsia"/>
                <w:sz w:val="18"/>
                <w:szCs w:val="18"/>
              </w:rPr>
              <w:t>500m×250m</w:t>
            </w:r>
          </w:p>
        </w:tc>
        <w:tc>
          <w:tcPr>
            <w:tcW w:w="533" w:type="pct"/>
            <w:vAlign w:val="center"/>
          </w:tcPr>
          <w:p w14:paraId="156DA869">
            <w:pPr>
              <w:jc w:val="center"/>
              <w:rPr>
                <w:rFonts w:cs="宋体" w:asciiTheme="minorEastAsia" w:hAnsiTheme="minorEastAsia"/>
                <w:sz w:val="18"/>
                <w:szCs w:val="18"/>
              </w:rPr>
            </w:pPr>
            <w:r>
              <w:rPr>
                <w:rFonts w:hint="eastAsia" w:cs="宋体" w:asciiTheme="minorEastAsia" w:hAnsiTheme="minorEastAsia"/>
                <w:sz w:val="18"/>
                <w:szCs w:val="18"/>
              </w:rPr>
              <w:t>γ辐射空气吸收剂量率（计算值）</w:t>
            </w:r>
          </w:p>
        </w:tc>
        <w:tc>
          <w:tcPr>
            <w:tcW w:w="840" w:type="pct"/>
            <w:vAlign w:val="center"/>
          </w:tcPr>
          <w:p w14:paraId="2AE271A1">
            <w:pPr>
              <w:jc w:val="left"/>
              <w:rPr>
                <w:rFonts w:cs="宋体" w:asciiTheme="minorEastAsia" w:hAnsiTheme="minorEastAsia"/>
                <w:sz w:val="18"/>
                <w:szCs w:val="18"/>
                <w:vertAlign w:val="superscript"/>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p>
        </w:tc>
        <w:tc>
          <w:tcPr>
            <w:tcW w:w="973" w:type="pct"/>
            <w:vAlign w:val="center"/>
          </w:tcPr>
          <w:p w14:paraId="4C2DEAC7">
            <w:pPr>
              <w:jc w:val="left"/>
              <w:rPr>
                <w:rFonts w:cs="宋体" w:asciiTheme="minorEastAsia" w:hAnsiTheme="minorEastAsia"/>
                <w:sz w:val="18"/>
                <w:szCs w:val="18"/>
              </w:rPr>
            </w:pPr>
            <w:r>
              <w:rPr>
                <w:rFonts w:cs="宋体" w:asciiTheme="minorEastAsia" w:hAnsiTheme="minorEastAsia"/>
                <w:sz w:val="18"/>
                <w:szCs w:val="18"/>
              </w:rPr>
              <w:t>无</w:t>
            </w:r>
          </w:p>
        </w:tc>
        <w:tc>
          <w:tcPr>
            <w:tcW w:w="616" w:type="pct"/>
            <w:vAlign w:val="center"/>
          </w:tcPr>
          <w:p w14:paraId="1894C477">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1E41B97D">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261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53CA9610">
            <w:pPr>
              <w:jc w:val="center"/>
              <w:rPr>
                <w:rFonts w:cs="宋体" w:asciiTheme="minorEastAsia" w:hAnsiTheme="minorEastAsia"/>
                <w:sz w:val="18"/>
                <w:szCs w:val="18"/>
              </w:rPr>
            </w:pPr>
            <w:r>
              <w:rPr>
                <w:rFonts w:hint="eastAsia" w:cs="宋体" w:asciiTheme="minorEastAsia" w:hAnsiTheme="minorEastAsia"/>
                <w:sz w:val="18"/>
                <w:szCs w:val="18"/>
              </w:rPr>
              <w:t>北海涠洲岛放射性水平现状调查与评估（2021）</w:t>
            </w:r>
          </w:p>
        </w:tc>
        <w:tc>
          <w:tcPr>
            <w:tcW w:w="457" w:type="pct"/>
            <w:vAlign w:val="center"/>
          </w:tcPr>
          <w:p w14:paraId="1DEBCF90">
            <w:pPr>
              <w:jc w:val="center"/>
              <w:rPr>
                <w:rFonts w:cs="宋体" w:asciiTheme="minorEastAsia" w:hAnsiTheme="minorEastAsia"/>
                <w:sz w:val="18"/>
                <w:szCs w:val="18"/>
              </w:rPr>
            </w:pPr>
            <w:r>
              <w:rPr>
                <w:rFonts w:cs="宋体" w:asciiTheme="minorEastAsia" w:hAnsiTheme="minorEastAsia"/>
                <w:sz w:val="18"/>
                <w:szCs w:val="18"/>
              </w:rPr>
              <w:t>1km×1km</w:t>
            </w:r>
          </w:p>
        </w:tc>
        <w:tc>
          <w:tcPr>
            <w:tcW w:w="533" w:type="pct"/>
            <w:vAlign w:val="center"/>
          </w:tcPr>
          <w:p w14:paraId="7A86826D">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15469BDE">
            <w:pPr>
              <w:jc w:val="left"/>
              <w:rPr>
                <w:rFonts w:cs="宋体" w:asciiTheme="minorEastAsia" w:hAnsiTheme="minorEastAsia"/>
                <w:sz w:val="18"/>
                <w:szCs w:val="18"/>
                <w:vertAlign w:val="superscript"/>
              </w:rPr>
            </w:pPr>
            <w:r>
              <w:rPr>
                <w:rFonts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973" w:type="pct"/>
            <w:vAlign w:val="center"/>
          </w:tcPr>
          <w:p w14:paraId="50D64853">
            <w:pPr>
              <w:jc w:val="left"/>
              <w:rPr>
                <w:rFonts w:cs="宋体" w:asciiTheme="minorEastAsia" w:hAnsiTheme="minorEastAsia"/>
                <w:sz w:val="18"/>
                <w:szCs w:val="18"/>
              </w:rPr>
            </w:pPr>
            <w:r>
              <w:rPr>
                <w:rFonts w:cs="宋体" w:asciiTheme="minorEastAsia" w:hAnsiTheme="minorEastAsia"/>
                <w:sz w:val="18"/>
                <w:szCs w:val="18"/>
              </w:rPr>
              <w:t>淡水：</w:t>
            </w:r>
            <w:r>
              <w:rPr>
                <w:rFonts w:hint="eastAsia" w:cs="宋体" w:asciiTheme="minorEastAsia" w:hAnsiTheme="minorEastAsia"/>
                <w:sz w:val="18"/>
                <w:szCs w:val="18"/>
              </w:rPr>
              <w:t>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K、总α、总β；海水：U、Th、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K、总α、总β、</w:t>
            </w:r>
            <w:r>
              <w:rPr>
                <w:rFonts w:hint="eastAsia" w:cs="宋体" w:asciiTheme="minorEastAsia" w:hAnsiTheme="minorEastAsia"/>
                <w:sz w:val="18"/>
                <w:szCs w:val="18"/>
                <w:vertAlign w:val="superscript"/>
              </w:rPr>
              <w:t>90</w:t>
            </w:r>
            <w:r>
              <w:rPr>
                <w:rFonts w:hint="eastAsia" w:cs="宋体" w:asciiTheme="minorEastAsia" w:hAnsiTheme="minorEastAsia"/>
                <w:sz w:val="18"/>
                <w:szCs w:val="18"/>
              </w:rPr>
              <w:t>Sr、</w:t>
            </w:r>
            <w:r>
              <w:rPr>
                <w:rFonts w:hint="eastAsia" w:cs="宋体" w:asciiTheme="minorEastAsia" w:hAnsiTheme="minorEastAsia"/>
                <w:sz w:val="18"/>
                <w:szCs w:val="18"/>
                <w:vertAlign w:val="superscript"/>
              </w:rPr>
              <w:t>137</w:t>
            </w:r>
            <w:r>
              <w:rPr>
                <w:rFonts w:hint="eastAsia" w:cs="宋体" w:asciiTheme="minorEastAsia" w:hAnsiTheme="minorEastAsia"/>
                <w:sz w:val="18"/>
                <w:szCs w:val="18"/>
              </w:rPr>
              <w:t>Cs</w:t>
            </w:r>
          </w:p>
        </w:tc>
        <w:tc>
          <w:tcPr>
            <w:tcW w:w="616" w:type="pct"/>
            <w:vAlign w:val="center"/>
          </w:tcPr>
          <w:p w14:paraId="47A1663A">
            <w:pPr>
              <w:jc w:val="center"/>
              <w:rPr>
                <w:rFonts w:cs="宋体" w:asciiTheme="minorEastAsia" w:hAnsiTheme="minorEastAsia"/>
                <w:sz w:val="18"/>
                <w:szCs w:val="18"/>
              </w:rPr>
            </w:pPr>
            <w:r>
              <w:rPr>
                <w:rFonts w:cs="宋体" w:asciiTheme="minorEastAsia" w:hAnsiTheme="minorEastAsia"/>
                <w:sz w:val="18"/>
                <w:szCs w:val="18"/>
              </w:rPr>
              <w:t>无</w:t>
            </w:r>
          </w:p>
        </w:tc>
        <w:tc>
          <w:tcPr>
            <w:tcW w:w="492" w:type="pct"/>
            <w:vAlign w:val="center"/>
          </w:tcPr>
          <w:p w14:paraId="15DBA341">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4015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7129E497">
            <w:pPr>
              <w:jc w:val="center"/>
              <w:rPr>
                <w:rFonts w:cs="宋体" w:asciiTheme="minorEastAsia" w:hAnsiTheme="minorEastAsia"/>
                <w:sz w:val="18"/>
                <w:szCs w:val="18"/>
              </w:rPr>
            </w:pPr>
            <w:r>
              <w:rPr>
                <w:rFonts w:hint="eastAsia" w:cs="宋体" w:asciiTheme="minorEastAsia" w:hAnsiTheme="minorEastAsia"/>
                <w:sz w:val="18"/>
                <w:szCs w:val="18"/>
              </w:rPr>
              <w:t>银川市（三区二县）放射性环境背景调查</w:t>
            </w:r>
            <w:r>
              <w:rPr>
                <w:rFonts w:hint="eastAsia" w:ascii="Times New Roman" w:hAnsi="Times New Roman" w:cs="Times New Roman"/>
                <w:sz w:val="18"/>
                <w:szCs w:val="18"/>
              </w:rPr>
              <w:t>（2019）</w:t>
            </w:r>
          </w:p>
        </w:tc>
        <w:tc>
          <w:tcPr>
            <w:tcW w:w="457" w:type="pct"/>
            <w:vAlign w:val="center"/>
          </w:tcPr>
          <w:p w14:paraId="1242CB94">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500m×500m</w:t>
            </w:r>
          </w:p>
          <w:p w14:paraId="18513D26">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1km×1km</w:t>
            </w:r>
          </w:p>
        </w:tc>
        <w:tc>
          <w:tcPr>
            <w:tcW w:w="533" w:type="pct"/>
            <w:vAlign w:val="center"/>
          </w:tcPr>
          <w:p w14:paraId="6F335C7B">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206FBC9E">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K、土壤氡浓度、土壤表面氡析出率</w:t>
            </w:r>
          </w:p>
        </w:tc>
        <w:tc>
          <w:tcPr>
            <w:tcW w:w="973" w:type="pct"/>
            <w:vAlign w:val="center"/>
          </w:tcPr>
          <w:p w14:paraId="79A3BC75">
            <w:pPr>
              <w:jc w:val="left"/>
              <w:rPr>
                <w:rFonts w:cs="宋体" w:asciiTheme="minorEastAsia" w:hAnsiTheme="minorEastAsia"/>
                <w:sz w:val="18"/>
                <w:szCs w:val="18"/>
              </w:rPr>
            </w:pPr>
            <w:r>
              <w:rPr>
                <w:rFonts w:hint="eastAsia" w:cs="宋体" w:asciiTheme="minorEastAsia" w:hAnsiTheme="minorEastAsia"/>
                <w:sz w:val="18"/>
                <w:szCs w:val="18"/>
              </w:rPr>
              <w:t>水中氡浓度、总α、总β</w:t>
            </w:r>
          </w:p>
        </w:tc>
        <w:tc>
          <w:tcPr>
            <w:tcW w:w="616" w:type="pct"/>
            <w:vAlign w:val="center"/>
          </w:tcPr>
          <w:p w14:paraId="1981C426">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vAlign w:val="center"/>
          </w:tcPr>
          <w:p w14:paraId="224EB229">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6D4F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4BE621C">
            <w:pPr>
              <w:jc w:val="center"/>
              <w:rPr>
                <w:rFonts w:cs="宋体" w:asciiTheme="minorEastAsia" w:hAnsiTheme="minorEastAsia"/>
                <w:sz w:val="18"/>
                <w:szCs w:val="18"/>
              </w:rPr>
            </w:pPr>
            <w:r>
              <w:rPr>
                <w:rFonts w:hint="eastAsia" w:cs="宋体" w:asciiTheme="minorEastAsia" w:hAnsiTheme="minorEastAsia"/>
                <w:sz w:val="18"/>
                <w:szCs w:val="18"/>
              </w:rPr>
              <w:t>宁夏吴忠市利通-青铜峡地区环境天然放射性水平调查</w:t>
            </w:r>
            <w:r>
              <w:rPr>
                <w:rFonts w:hint="eastAsia" w:ascii="Times New Roman" w:hAnsi="Times New Roman" w:cs="Times New Roman"/>
                <w:sz w:val="18"/>
                <w:szCs w:val="18"/>
              </w:rPr>
              <w:t>（2021）</w:t>
            </w:r>
          </w:p>
        </w:tc>
        <w:tc>
          <w:tcPr>
            <w:tcW w:w="457" w:type="pct"/>
            <w:vAlign w:val="center"/>
          </w:tcPr>
          <w:p w14:paraId="3BACF266">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500m×500m</w:t>
            </w:r>
          </w:p>
          <w:p w14:paraId="3FFDD8AF">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1km×1km</w:t>
            </w:r>
          </w:p>
        </w:tc>
        <w:tc>
          <w:tcPr>
            <w:tcW w:w="533" w:type="pct"/>
            <w:vAlign w:val="center"/>
          </w:tcPr>
          <w:p w14:paraId="66C67D53">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67C2B8FC">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p>
        </w:tc>
        <w:tc>
          <w:tcPr>
            <w:tcW w:w="973" w:type="pct"/>
            <w:vAlign w:val="center"/>
          </w:tcPr>
          <w:p w14:paraId="343F819A">
            <w:pPr>
              <w:jc w:val="left"/>
              <w:rPr>
                <w:rFonts w:cs="宋体" w:asciiTheme="minorEastAsia" w:hAnsiTheme="minorEastAsia"/>
                <w:sz w:val="18"/>
                <w:szCs w:val="18"/>
              </w:rPr>
            </w:pPr>
            <w:r>
              <w:rPr>
                <w:rFonts w:hint="eastAsia" w:cs="宋体" w:asciiTheme="minorEastAsia" w:hAnsiTheme="minorEastAsia"/>
                <w:sz w:val="18"/>
                <w:szCs w:val="18"/>
              </w:rPr>
              <w:t>水中氡浓度、总α、总β</w:t>
            </w:r>
          </w:p>
        </w:tc>
        <w:tc>
          <w:tcPr>
            <w:tcW w:w="616" w:type="pct"/>
            <w:vAlign w:val="center"/>
          </w:tcPr>
          <w:p w14:paraId="035BB390">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vAlign w:val="center"/>
          </w:tcPr>
          <w:p w14:paraId="70043AC8">
            <w:pPr>
              <w:jc w:val="center"/>
              <w:rPr>
                <w:rFonts w:cs="宋体" w:asciiTheme="minorEastAsia" w:hAnsiTheme="minorEastAsia"/>
                <w:sz w:val="18"/>
                <w:szCs w:val="18"/>
              </w:rPr>
            </w:pPr>
            <w:r>
              <w:rPr>
                <w:rFonts w:hint="eastAsia" w:cs="宋体" w:asciiTheme="minorEastAsia" w:hAnsiTheme="minorEastAsia"/>
                <w:sz w:val="18"/>
                <w:szCs w:val="18"/>
              </w:rPr>
              <w:t>无</w:t>
            </w:r>
          </w:p>
        </w:tc>
      </w:tr>
      <w:tr w14:paraId="78E7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5BB9CF5A">
            <w:pPr>
              <w:jc w:val="center"/>
              <w:rPr>
                <w:rFonts w:cs="宋体" w:asciiTheme="minorEastAsia" w:hAnsiTheme="minorEastAsia"/>
                <w:sz w:val="18"/>
                <w:szCs w:val="18"/>
              </w:rPr>
            </w:pPr>
            <w:r>
              <w:rPr>
                <w:rFonts w:hint="eastAsia" w:cs="宋体" w:asciiTheme="minorEastAsia" w:hAnsiTheme="minorEastAsia"/>
                <w:sz w:val="18"/>
                <w:szCs w:val="18"/>
              </w:rPr>
              <w:t>石嘴山市环境天然放射性水平调查</w:t>
            </w:r>
            <w:r>
              <w:rPr>
                <w:rFonts w:hint="eastAsia" w:ascii="Times New Roman" w:hAnsi="Times New Roman" w:cs="Times New Roman"/>
                <w:sz w:val="18"/>
                <w:szCs w:val="18"/>
              </w:rPr>
              <w:t>（2</w:t>
            </w:r>
            <w:r>
              <w:rPr>
                <w:rFonts w:ascii="Times New Roman" w:hAnsi="Times New Roman" w:cs="Times New Roman"/>
                <w:sz w:val="18"/>
                <w:szCs w:val="18"/>
              </w:rPr>
              <w:t>022</w:t>
            </w:r>
            <w:r>
              <w:rPr>
                <w:rFonts w:hint="eastAsia" w:ascii="Times New Roman" w:hAnsi="Times New Roman" w:cs="Times New Roman"/>
                <w:sz w:val="18"/>
                <w:szCs w:val="18"/>
              </w:rPr>
              <w:t>）</w:t>
            </w:r>
          </w:p>
        </w:tc>
        <w:tc>
          <w:tcPr>
            <w:tcW w:w="457" w:type="pct"/>
            <w:vAlign w:val="center"/>
          </w:tcPr>
          <w:p w14:paraId="6C10EB6A">
            <w:pPr>
              <w:jc w:val="center"/>
              <w:rPr>
                <w:rFonts w:ascii="仿宋_GB2312" w:eastAsia="仿宋_GB2312"/>
                <w:sz w:val="18"/>
                <w:szCs w:val="18"/>
              </w:rPr>
            </w:pPr>
            <w:r>
              <w:rPr>
                <w:rFonts w:hint="eastAsia" w:ascii="仿宋_GB2312" w:eastAsia="仿宋_GB2312"/>
                <w:sz w:val="18"/>
                <w:szCs w:val="18"/>
              </w:rPr>
              <w:t>500m×500m</w:t>
            </w:r>
          </w:p>
          <w:p w14:paraId="12158822">
            <w:pPr>
              <w:jc w:val="center"/>
              <w:rPr>
                <w:rFonts w:ascii="仿宋_GB2312" w:eastAsia="仿宋_GB2312"/>
                <w:sz w:val="18"/>
                <w:szCs w:val="18"/>
              </w:rPr>
            </w:pPr>
            <w:r>
              <w:rPr>
                <w:rFonts w:hint="eastAsia" w:ascii="仿宋_GB2312" w:eastAsia="仿宋_GB2312"/>
                <w:sz w:val="18"/>
                <w:szCs w:val="18"/>
              </w:rPr>
              <w:t>1km×1km</w:t>
            </w:r>
          </w:p>
        </w:tc>
        <w:tc>
          <w:tcPr>
            <w:tcW w:w="533" w:type="pct"/>
            <w:vAlign w:val="center"/>
          </w:tcPr>
          <w:p w14:paraId="025491DB">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vAlign w:val="center"/>
          </w:tcPr>
          <w:p w14:paraId="016C3017">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p>
        </w:tc>
        <w:tc>
          <w:tcPr>
            <w:tcW w:w="973" w:type="pct"/>
            <w:vAlign w:val="center"/>
          </w:tcPr>
          <w:p w14:paraId="2E7D984F">
            <w:pPr>
              <w:jc w:val="left"/>
              <w:rPr>
                <w:rFonts w:cs="宋体" w:asciiTheme="minorEastAsia" w:hAnsiTheme="minorEastAsia"/>
                <w:sz w:val="18"/>
                <w:szCs w:val="18"/>
              </w:rPr>
            </w:pPr>
            <w:r>
              <w:rPr>
                <w:rFonts w:hint="eastAsia" w:cs="宋体" w:asciiTheme="minorEastAsia" w:hAnsiTheme="minorEastAsia"/>
                <w:sz w:val="18"/>
                <w:szCs w:val="18"/>
              </w:rPr>
              <w:t>水中氡浓度、总α、总β</w:t>
            </w:r>
          </w:p>
        </w:tc>
        <w:tc>
          <w:tcPr>
            <w:tcW w:w="616" w:type="pct"/>
            <w:vAlign w:val="center"/>
          </w:tcPr>
          <w:p w14:paraId="2348D0C8">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vAlign w:val="center"/>
          </w:tcPr>
          <w:p w14:paraId="3B7E574B">
            <w:pPr>
              <w:jc w:val="left"/>
              <w:rPr>
                <w:rFonts w:cs="宋体" w:asciiTheme="minorEastAsia" w:hAnsiTheme="minorEastAsia"/>
                <w:sz w:val="18"/>
                <w:szCs w:val="18"/>
              </w:rPr>
            </w:pPr>
            <w:r>
              <w:rPr>
                <w:rFonts w:hint="eastAsia" w:cs="宋体" w:asciiTheme="minorEastAsia" w:hAnsiTheme="minorEastAsia"/>
                <w:sz w:val="18"/>
                <w:szCs w:val="18"/>
              </w:rPr>
              <w:t>农作物总铀、</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p>
        </w:tc>
      </w:tr>
      <w:tr w14:paraId="24B6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6C69CEF8">
            <w:pPr>
              <w:jc w:val="center"/>
              <w:rPr>
                <w:rFonts w:cs="宋体" w:asciiTheme="minorEastAsia" w:hAnsiTheme="minorEastAsia"/>
                <w:sz w:val="18"/>
                <w:szCs w:val="18"/>
              </w:rPr>
            </w:pPr>
            <w:r>
              <w:rPr>
                <w:rFonts w:hint="eastAsia" w:cs="宋体" w:asciiTheme="minorEastAsia" w:hAnsiTheme="minorEastAsia"/>
                <w:sz w:val="18"/>
                <w:szCs w:val="18"/>
              </w:rPr>
              <w:t>宁东-灵武地区环境天然放射性水平调查</w:t>
            </w:r>
            <w:r>
              <w:rPr>
                <w:rFonts w:hint="eastAsia" w:ascii="Times New Roman" w:hAnsi="Times New Roman" w:cs="Times New Roman"/>
                <w:sz w:val="18"/>
                <w:szCs w:val="18"/>
              </w:rPr>
              <w:t>（2</w:t>
            </w:r>
            <w:r>
              <w:rPr>
                <w:rFonts w:ascii="Times New Roman" w:hAnsi="Times New Roman" w:cs="Times New Roman"/>
                <w:sz w:val="18"/>
                <w:szCs w:val="18"/>
              </w:rPr>
              <w:t>022</w:t>
            </w:r>
            <w:r>
              <w:rPr>
                <w:rFonts w:hint="eastAsia" w:ascii="Times New Roman" w:hAnsi="Times New Roman" w:cs="Times New Roman"/>
                <w:sz w:val="18"/>
                <w:szCs w:val="18"/>
              </w:rPr>
              <w:t>）</w:t>
            </w:r>
          </w:p>
        </w:tc>
        <w:tc>
          <w:tcPr>
            <w:tcW w:w="457" w:type="pct"/>
            <w:vAlign w:val="center"/>
          </w:tcPr>
          <w:p w14:paraId="7C647688">
            <w:pPr>
              <w:jc w:val="center"/>
              <w:rPr>
                <w:rFonts w:ascii="仿宋_GB2312" w:eastAsia="仿宋_GB2312"/>
                <w:sz w:val="18"/>
                <w:szCs w:val="18"/>
              </w:rPr>
            </w:pPr>
            <w:r>
              <w:rPr>
                <w:rFonts w:hint="eastAsia" w:ascii="仿宋_GB2312" w:eastAsia="仿宋_GB2312"/>
                <w:sz w:val="18"/>
                <w:szCs w:val="18"/>
              </w:rPr>
              <w:t>500m×500m</w:t>
            </w:r>
          </w:p>
          <w:p w14:paraId="275403D3">
            <w:pPr>
              <w:jc w:val="center"/>
              <w:rPr>
                <w:rFonts w:ascii="仿宋_GB2312" w:eastAsia="仿宋_GB2312"/>
                <w:sz w:val="18"/>
                <w:szCs w:val="18"/>
              </w:rPr>
            </w:pPr>
            <w:r>
              <w:rPr>
                <w:rFonts w:hint="eastAsia" w:ascii="仿宋_GB2312" w:eastAsia="仿宋_GB2312"/>
                <w:sz w:val="18"/>
                <w:szCs w:val="18"/>
              </w:rPr>
              <w:t>1km×1km</w:t>
            </w:r>
          </w:p>
        </w:tc>
        <w:tc>
          <w:tcPr>
            <w:tcW w:w="533" w:type="pct"/>
            <w:shd w:val="clear" w:color="auto" w:fill="auto"/>
            <w:vAlign w:val="center"/>
          </w:tcPr>
          <w:p w14:paraId="3235F9B4">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shd w:val="clear" w:color="auto" w:fill="auto"/>
            <w:vAlign w:val="center"/>
          </w:tcPr>
          <w:p w14:paraId="5BB940BC">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r>
              <w:rPr>
                <w:rFonts w:cs="Times New Roman" w:asciiTheme="minorEastAsia" w:hAnsiTheme="minorEastAsia"/>
                <w:sz w:val="18"/>
                <w:szCs w:val="18"/>
              </w:rPr>
              <w:t>煤及固体废弃物</w:t>
            </w:r>
            <w:r>
              <w:rPr>
                <w:rFonts w:hint="eastAsia" w:cs="Times New Roman" w:asciiTheme="minorEastAsia" w:hAnsiTheme="minorEastAsia"/>
                <w:sz w:val="18"/>
                <w:szCs w:val="18"/>
              </w:rPr>
              <w:t>（</w:t>
            </w: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Times New Roman" w:asciiTheme="minorEastAsia" w:hAnsiTheme="minorEastAsia"/>
                <w:sz w:val="18"/>
                <w:szCs w:val="18"/>
              </w:rPr>
              <w:t>）</w:t>
            </w:r>
          </w:p>
        </w:tc>
        <w:tc>
          <w:tcPr>
            <w:tcW w:w="973" w:type="pct"/>
            <w:shd w:val="clear" w:color="auto" w:fill="auto"/>
            <w:vAlign w:val="center"/>
          </w:tcPr>
          <w:p w14:paraId="6CF55E09">
            <w:pPr>
              <w:jc w:val="left"/>
              <w:rPr>
                <w:rFonts w:cs="宋体" w:asciiTheme="minorEastAsia" w:hAnsiTheme="minorEastAsia"/>
                <w:sz w:val="18"/>
                <w:szCs w:val="18"/>
              </w:rPr>
            </w:pPr>
            <w:r>
              <w:rPr>
                <w:rFonts w:hint="eastAsia" w:cs="宋体" w:asciiTheme="minorEastAsia" w:hAnsiTheme="minorEastAsia"/>
                <w:sz w:val="18"/>
                <w:szCs w:val="18"/>
              </w:rPr>
              <w:t>水中氡浓度、总α、总β</w:t>
            </w:r>
          </w:p>
        </w:tc>
        <w:tc>
          <w:tcPr>
            <w:tcW w:w="616" w:type="pct"/>
            <w:shd w:val="clear" w:color="auto" w:fill="auto"/>
            <w:vAlign w:val="center"/>
          </w:tcPr>
          <w:p w14:paraId="1C257522">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shd w:val="clear" w:color="auto" w:fill="auto"/>
            <w:vAlign w:val="center"/>
          </w:tcPr>
          <w:p w14:paraId="640B688D">
            <w:pPr>
              <w:jc w:val="left"/>
              <w:rPr>
                <w:rFonts w:cs="宋体" w:asciiTheme="minorEastAsia" w:hAnsiTheme="minorEastAsia"/>
                <w:sz w:val="18"/>
                <w:szCs w:val="18"/>
              </w:rPr>
            </w:pPr>
            <w:r>
              <w:rPr>
                <w:rFonts w:hint="eastAsia" w:cs="宋体" w:asciiTheme="minorEastAsia" w:hAnsiTheme="minorEastAsia"/>
                <w:sz w:val="18"/>
                <w:szCs w:val="18"/>
              </w:rPr>
              <w:t>农作物总铀、</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p>
        </w:tc>
      </w:tr>
      <w:tr w14:paraId="79F3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25D6EE0">
            <w:pPr>
              <w:jc w:val="center"/>
              <w:rPr>
                <w:rFonts w:cs="宋体" w:asciiTheme="minorEastAsia" w:hAnsiTheme="minorEastAsia"/>
                <w:sz w:val="18"/>
                <w:szCs w:val="18"/>
              </w:rPr>
            </w:pPr>
            <w:r>
              <w:rPr>
                <w:rFonts w:hint="eastAsia" w:cs="宋体" w:asciiTheme="minorEastAsia" w:hAnsiTheme="minorEastAsia"/>
                <w:sz w:val="18"/>
                <w:szCs w:val="18"/>
              </w:rPr>
              <w:t>宁夏中卫地区环境天然放射性水平调查（2023）</w:t>
            </w:r>
          </w:p>
        </w:tc>
        <w:tc>
          <w:tcPr>
            <w:tcW w:w="457" w:type="pct"/>
            <w:vAlign w:val="center"/>
          </w:tcPr>
          <w:p w14:paraId="137547A1">
            <w:pPr>
              <w:jc w:val="center"/>
              <w:rPr>
                <w:rFonts w:ascii="仿宋_GB2312" w:eastAsia="仿宋_GB2312"/>
                <w:sz w:val="18"/>
                <w:szCs w:val="18"/>
              </w:rPr>
            </w:pPr>
            <w:r>
              <w:rPr>
                <w:rFonts w:hint="eastAsia" w:ascii="仿宋_GB2312" w:eastAsia="仿宋_GB2312"/>
                <w:sz w:val="18"/>
                <w:szCs w:val="18"/>
              </w:rPr>
              <w:t>500m×500m</w:t>
            </w:r>
          </w:p>
          <w:p w14:paraId="356A874C">
            <w:pPr>
              <w:jc w:val="center"/>
              <w:rPr>
                <w:rFonts w:ascii="仿宋_GB2312" w:eastAsia="仿宋_GB2312"/>
                <w:sz w:val="18"/>
                <w:szCs w:val="18"/>
              </w:rPr>
            </w:pPr>
            <w:r>
              <w:rPr>
                <w:rFonts w:hint="eastAsia" w:ascii="仿宋_GB2312" w:eastAsia="仿宋_GB2312"/>
                <w:sz w:val="18"/>
                <w:szCs w:val="18"/>
              </w:rPr>
              <w:t>1km×1km</w:t>
            </w:r>
          </w:p>
        </w:tc>
        <w:tc>
          <w:tcPr>
            <w:tcW w:w="533" w:type="pct"/>
            <w:shd w:val="clear" w:color="auto" w:fill="auto"/>
            <w:vAlign w:val="center"/>
          </w:tcPr>
          <w:p w14:paraId="257346C4">
            <w:pPr>
              <w:jc w:val="center"/>
              <w:rPr>
                <w:rFonts w:cs="宋体" w:asciiTheme="minorEastAsia" w:hAnsiTheme="minorEastAsia"/>
                <w:sz w:val="18"/>
                <w:szCs w:val="18"/>
              </w:rPr>
            </w:pPr>
            <w:r>
              <w:rPr>
                <w:rFonts w:hint="eastAsia" w:cs="宋体" w:asciiTheme="minorEastAsia" w:hAnsiTheme="minorEastAsia"/>
                <w:sz w:val="18"/>
                <w:szCs w:val="18"/>
              </w:rPr>
              <w:t>γ辐射空气吸收剂量率</w:t>
            </w:r>
          </w:p>
        </w:tc>
        <w:tc>
          <w:tcPr>
            <w:tcW w:w="840" w:type="pct"/>
            <w:shd w:val="clear" w:color="auto" w:fill="auto"/>
            <w:vAlign w:val="center"/>
          </w:tcPr>
          <w:p w14:paraId="526E9A4E">
            <w:pPr>
              <w:jc w:val="left"/>
              <w:rPr>
                <w:rFonts w:cs="宋体" w:asciiTheme="minorEastAsia" w:hAnsiTheme="minorEastAsia"/>
                <w:sz w:val="18"/>
                <w:szCs w:val="18"/>
              </w:rPr>
            </w:pP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K、土壤氡浓度、</w:t>
            </w:r>
            <w:r>
              <w:rPr>
                <w:rFonts w:cs="Times New Roman" w:asciiTheme="minorEastAsia" w:hAnsiTheme="minorEastAsia"/>
                <w:sz w:val="18"/>
                <w:szCs w:val="18"/>
              </w:rPr>
              <w:t>煤及固体废弃物</w:t>
            </w:r>
            <w:r>
              <w:rPr>
                <w:rFonts w:hint="eastAsia" w:cs="Times New Roman" w:asciiTheme="minorEastAsia" w:hAnsiTheme="minorEastAsia"/>
                <w:sz w:val="18"/>
                <w:szCs w:val="18"/>
              </w:rPr>
              <w:t>（</w:t>
            </w:r>
            <w:r>
              <w:rPr>
                <w:rFonts w:hint="eastAsia" w:cs="宋体" w:asciiTheme="minorEastAsia" w:hAnsiTheme="minorEastAsia"/>
                <w:sz w:val="18"/>
                <w:szCs w:val="18"/>
                <w:vertAlign w:val="superscript"/>
              </w:rPr>
              <w:t>238</w:t>
            </w:r>
            <w:r>
              <w:rPr>
                <w:rFonts w:hint="eastAsia" w:cs="宋体" w:asciiTheme="minorEastAsia" w:hAnsiTheme="minorEastAsia"/>
                <w:sz w:val="18"/>
                <w:szCs w:val="18"/>
              </w:rPr>
              <w:t>U、</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r>
              <w:rPr>
                <w:rFonts w:hint="eastAsia" w:cs="宋体" w:asciiTheme="minorEastAsia" w:hAnsiTheme="minorEastAsia"/>
                <w:sz w:val="18"/>
                <w:szCs w:val="18"/>
                <w:vertAlign w:val="superscript"/>
              </w:rPr>
              <w:t>40</w:t>
            </w:r>
            <w:r>
              <w:rPr>
                <w:rFonts w:hint="eastAsia" w:cs="宋体" w:asciiTheme="minorEastAsia" w:hAnsiTheme="minorEastAsia"/>
                <w:sz w:val="18"/>
                <w:szCs w:val="18"/>
              </w:rPr>
              <w:t>K</w:t>
            </w:r>
            <w:r>
              <w:rPr>
                <w:rFonts w:hint="eastAsia" w:cs="Times New Roman" w:asciiTheme="minorEastAsia" w:hAnsiTheme="minorEastAsia"/>
                <w:sz w:val="18"/>
                <w:szCs w:val="18"/>
              </w:rPr>
              <w:t>）</w:t>
            </w:r>
          </w:p>
        </w:tc>
        <w:tc>
          <w:tcPr>
            <w:tcW w:w="973" w:type="pct"/>
            <w:shd w:val="clear" w:color="auto" w:fill="auto"/>
            <w:vAlign w:val="center"/>
          </w:tcPr>
          <w:p w14:paraId="782278A6">
            <w:pPr>
              <w:jc w:val="left"/>
              <w:rPr>
                <w:rFonts w:cs="宋体" w:asciiTheme="minorEastAsia" w:hAnsiTheme="minorEastAsia"/>
                <w:sz w:val="18"/>
                <w:szCs w:val="18"/>
              </w:rPr>
            </w:pPr>
            <w:r>
              <w:rPr>
                <w:rFonts w:hint="eastAsia" w:cs="宋体" w:asciiTheme="minorEastAsia" w:hAnsiTheme="minorEastAsia"/>
                <w:sz w:val="18"/>
                <w:szCs w:val="18"/>
              </w:rPr>
              <w:t>水中氡浓度、总α、总β</w:t>
            </w:r>
          </w:p>
        </w:tc>
        <w:tc>
          <w:tcPr>
            <w:tcW w:w="616" w:type="pct"/>
            <w:shd w:val="clear" w:color="auto" w:fill="auto"/>
            <w:vAlign w:val="center"/>
          </w:tcPr>
          <w:p w14:paraId="5D7B8219">
            <w:pPr>
              <w:jc w:val="center"/>
              <w:rPr>
                <w:rFonts w:cs="宋体" w:asciiTheme="minorEastAsia" w:hAnsiTheme="minorEastAsia"/>
                <w:sz w:val="18"/>
                <w:szCs w:val="18"/>
              </w:rPr>
            </w:pPr>
            <w:r>
              <w:rPr>
                <w:rFonts w:hint="eastAsia" w:cs="宋体" w:asciiTheme="minorEastAsia" w:hAnsiTheme="minorEastAsia"/>
                <w:sz w:val="18"/>
                <w:szCs w:val="18"/>
              </w:rPr>
              <w:t>空气氡浓度</w:t>
            </w:r>
          </w:p>
        </w:tc>
        <w:tc>
          <w:tcPr>
            <w:tcW w:w="492" w:type="pct"/>
            <w:shd w:val="clear" w:color="auto" w:fill="auto"/>
            <w:vAlign w:val="center"/>
          </w:tcPr>
          <w:p w14:paraId="663AD46B">
            <w:pPr>
              <w:jc w:val="left"/>
              <w:rPr>
                <w:rFonts w:cs="宋体" w:asciiTheme="minorEastAsia" w:hAnsiTheme="minorEastAsia"/>
                <w:sz w:val="18"/>
                <w:szCs w:val="18"/>
              </w:rPr>
            </w:pPr>
            <w:r>
              <w:rPr>
                <w:rFonts w:hint="eastAsia" w:cs="宋体" w:asciiTheme="minorEastAsia" w:hAnsiTheme="minorEastAsia"/>
                <w:sz w:val="18"/>
                <w:szCs w:val="18"/>
              </w:rPr>
              <w:t>农作物总铀、</w:t>
            </w:r>
            <w:r>
              <w:rPr>
                <w:rFonts w:hint="eastAsia" w:cs="宋体" w:asciiTheme="minorEastAsia" w:hAnsiTheme="minorEastAsia"/>
                <w:sz w:val="18"/>
                <w:szCs w:val="18"/>
                <w:vertAlign w:val="superscript"/>
              </w:rPr>
              <w:t>232</w:t>
            </w:r>
            <w:r>
              <w:rPr>
                <w:rFonts w:hint="eastAsia" w:cs="宋体" w:asciiTheme="minorEastAsia" w:hAnsiTheme="minorEastAsia"/>
                <w:sz w:val="18"/>
                <w:szCs w:val="18"/>
              </w:rPr>
              <w:t>Th、</w:t>
            </w:r>
            <w:r>
              <w:rPr>
                <w:rFonts w:hint="eastAsia" w:cs="宋体" w:asciiTheme="minorEastAsia" w:hAnsiTheme="minorEastAsia"/>
                <w:sz w:val="18"/>
                <w:szCs w:val="18"/>
                <w:vertAlign w:val="superscript"/>
              </w:rPr>
              <w:t>226</w:t>
            </w:r>
            <w:r>
              <w:rPr>
                <w:rFonts w:hint="eastAsia" w:cs="宋体" w:asciiTheme="minorEastAsia" w:hAnsiTheme="minorEastAsia"/>
                <w:sz w:val="18"/>
                <w:szCs w:val="18"/>
              </w:rPr>
              <w:t>Ra</w:t>
            </w:r>
          </w:p>
        </w:tc>
      </w:tr>
      <w:tr w14:paraId="72B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Align w:val="center"/>
          </w:tcPr>
          <w:p w14:paraId="1F50A9FC">
            <w:pPr>
              <w:jc w:val="center"/>
              <w:rPr>
                <w:rFonts w:cs="宋体" w:asciiTheme="minorEastAsia" w:hAnsiTheme="minorEastAsia"/>
                <w:sz w:val="18"/>
                <w:szCs w:val="18"/>
              </w:rPr>
            </w:pPr>
            <w:r>
              <w:rPr>
                <w:rFonts w:hint="eastAsia" w:ascii="Times New Roman" w:hAnsi="Times New Roman" w:cs="Times New Roman"/>
                <w:sz w:val="18"/>
                <w:szCs w:val="18"/>
              </w:rPr>
              <w:t>全国辐射环境质量报告（2023）</w:t>
            </w:r>
          </w:p>
        </w:tc>
        <w:tc>
          <w:tcPr>
            <w:tcW w:w="457" w:type="pct"/>
            <w:vAlign w:val="center"/>
          </w:tcPr>
          <w:p w14:paraId="571BE58F">
            <w:pPr>
              <w:jc w:val="center"/>
              <w:rPr>
                <w:rFonts w:cs="宋体" w:asciiTheme="minorEastAsia" w:hAnsiTheme="minorEastAsia"/>
                <w:sz w:val="18"/>
                <w:szCs w:val="18"/>
              </w:rPr>
            </w:pPr>
            <w:r>
              <w:rPr>
                <w:rFonts w:cs="宋体" w:asciiTheme="minorEastAsia" w:hAnsiTheme="minorEastAsia"/>
                <w:sz w:val="18"/>
                <w:szCs w:val="18"/>
              </w:rPr>
              <w:t>国控点</w:t>
            </w:r>
          </w:p>
        </w:tc>
        <w:tc>
          <w:tcPr>
            <w:tcW w:w="533" w:type="pct"/>
            <w:shd w:val="clear" w:color="auto" w:fill="auto"/>
            <w:vAlign w:val="center"/>
          </w:tcPr>
          <w:p w14:paraId="7495FE56">
            <w:pPr>
              <w:jc w:val="center"/>
              <w:rPr>
                <w:rFonts w:cs="宋体" w:asciiTheme="minorEastAsia" w:hAnsiTheme="minorEastAsia"/>
                <w:sz w:val="18"/>
                <w:szCs w:val="18"/>
              </w:rPr>
            </w:pPr>
            <w:r>
              <w:rPr>
                <w:rFonts w:hint="eastAsia" w:cs="宋体" w:asciiTheme="minorEastAsia" w:hAnsiTheme="minorEastAsia"/>
                <w:sz w:val="18"/>
                <w:szCs w:val="18"/>
              </w:rPr>
              <w:t>γ辐射空气吸收剂量率、γ辐射累积剂量</w:t>
            </w:r>
          </w:p>
        </w:tc>
        <w:tc>
          <w:tcPr>
            <w:tcW w:w="840" w:type="pct"/>
            <w:shd w:val="clear" w:color="auto" w:fill="auto"/>
            <w:vAlign w:val="center"/>
          </w:tcPr>
          <w:p w14:paraId="394B289F">
            <w:pPr>
              <w:jc w:val="center"/>
              <w:rPr>
                <w:rFonts w:cs="宋体" w:asciiTheme="minorEastAsia" w:hAnsiTheme="minorEastAsia"/>
                <w:sz w:val="18"/>
                <w:szCs w:val="18"/>
                <w:vertAlign w:val="superscript"/>
              </w:rPr>
            </w:pPr>
            <w:r>
              <w:rPr>
                <w:rFonts w:hint="eastAsia" w:ascii="Times New Roman" w:hAnsi="Times New Roman" w:cs="Times New Roman"/>
                <w:sz w:val="18"/>
                <w:szCs w:val="18"/>
              </w:rPr>
              <w:t>土壤（γ能谱）</w:t>
            </w:r>
          </w:p>
        </w:tc>
        <w:tc>
          <w:tcPr>
            <w:tcW w:w="973" w:type="pct"/>
            <w:shd w:val="clear" w:color="auto" w:fill="auto"/>
            <w:vAlign w:val="center"/>
          </w:tcPr>
          <w:p w14:paraId="13622D83">
            <w:pPr>
              <w:jc w:val="left"/>
              <w:rPr>
                <w:rFonts w:cs="宋体" w:asciiTheme="minorEastAsia" w:hAnsiTheme="minorEastAsia"/>
                <w:sz w:val="18"/>
                <w:szCs w:val="18"/>
              </w:rPr>
            </w:pPr>
            <w:r>
              <w:rPr>
                <w:rFonts w:hint="eastAsia" w:ascii="Times New Roman" w:hAnsi="Times New Roman" w:cs="Times New Roman"/>
                <w:sz w:val="18"/>
                <w:szCs w:val="18"/>
              </w:rPr>
              <w:t>江河水和湖库水（总α、总β、U、Th、</w:t>
            </w:r>
            <w:r>
              <w:rPr>
                <w:rFonts w:hint="eastAsia" w:ascii="Times New Roman" w:hAnsi="Times New Roman" w:cs="Times New Roman"/>
                <w:sz w:val="18"/>
                <w:szCs w:val="18"/>
                <w:vertAlign w:val="superscript"/>
              </w:rPr>
              <w:t>226</w:t>
            </w:r>
            <w:r>
              <w:rPr>
                <w:rFonts w:hint="eastAsia" w:ascii="Times New Roman" w:hAnsi="Times New Roman" w:cs="Times New Roman"/>
                <w:sz w:val="18"/>
                <w:szCs w:val="18"/>
              </w:rPr>
              <w:t>Ra、</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w:t>
            </w:r>
            <w:r>
              <w:rPr>
                <w:rFonts w:hint="eastAsia" w:ascii="Times New Roman" w:hAnsi="Times New Roman" w:cs="Times New Roman"/>
                <w:sz w:val="18"/>
                <w:szCs w:val="18"/>
                <w:vertAlign w:val="superscript"/>
              </w:rPr>
              <w:t>137</w:t>
            </w:r>
            <w:r>
              <w:rPr>
                <w:rFonts w:hint="eastAsia" w:ascii="Times New Roman" w:hAnsi="Times New Roman" w:cs="Times New Roman"/>
                <w:sz w:val="18"/>
                <w:szCs w:val="18"/>
              </w:rPr>
              <w:t>Cs）、地下水（总α、总β、U、Th、</w:t>
            </w:r>
            <w:r>
              <w:rPr>
                <w:rFonts w:hint="eastAsia" w:ascii="Times New Roman" w:hAnsi="Times New Roman" w:cs="Times New Roman"/>
                <w:sz w:val="18"/>
                <w:szCs w:val="18"/>
                <w:vertAlign w:val="superscript"/>
              </w:rPr>
              <w:t>210</w:t>
            </w:r>
            <w:r>
              <w:rPr>
                <w:rFonts w:hint="eastAsia" w:ascii="Times New Roman" w:hAnsi="Times New Roman" w:cs="Times New Roman"/>
                <w:sz w:val="18"/>
                <w:szCs w:val="18"/>
              </w:rPr>
              <w:t>Pb、</w:t>
            </w:r>
            <w:r>
              <w:rPr>
                <w:rFonts w:hint="eastAsia" w:ascii="Times New Roman" w:hAnsi="Times New Roman" w:cs="Times New Roman"/>
                <w:sz w:val="18"/>
                <w:szCs w:val="18"/>
                <w:vertAlign w:val="superscript"/>
              </w:rPr>
              <w:t>210</w:t>
            </w:r>
            <w:r>
              <w:rPr>
                <w:rFonts w:hint="eastAsia" w:ascii="Times New Roman" w:hAnsi="Times New Roman" w:cs="Times New Roman"/>
                <w:sz w:val="18"/>
                <w:szCs w:val="18"/>
              </w:rPr>
              <w:t>Po、</w:t>
            </w:r>
            <w:r>
              <w:rPr>
                <w:rFonts w:hint="eastAsia" w:ascii="Times New Roman" w:hAnsi="Times New Roman" w:cs="Times New Roman"/>
                <w:sz w:val="18"/>
                <w:szCs w:val="18"/>
                <w:vertAlign w:val="superscript"/>
              </w:rPr>
              <w:t>226</w:t>
            </w:r>
            <w:r>
              <w:rPr>
                <w:rFonts w:hint="eastAsia" w:ascii="Times New Roman" w:hAnsi="Times New Roman" w:cs="Times New Roman"/>
                <w:sz w:val="18"/>
                <w:szCs w:val="18"/>
              </w:rPr>
              <w:t>Ra）、饮用水和水源地水（总α、总β、</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w:t>
            </w:r>
            <w:r>
              <w:rPr>
                <w:rFonts w:hint="eastAsia" w:ascii="Times New Roman" w:hAnsi="Times New Roman" w:cs="Times New Roman"/>
                <w:sz w:val="18"/>
                <w:szCs w:val="18"/>
                <w:vertAlign w:val="superscript"/>
              </w:rPr>
              <w:t>137</w:t>
            </w:r>
            <w:r>
              <w:rPr>
                <w:rFonts w:hint="eastAsia" w:ascii="Times New Roman" w:hAnsi="Times New Roman" w:cs="Times New Roman"/>
                <w:sz w:val="18"/>
                <w:szCs w:val="18"/>
              </w:rPr>
              <w:t>Cs、总α、总β）、海水（</w:t>
            </w:r>
            <w:r>
              <w:rPr>
                <w:rFonts w:hint="eastAsia" w:ascii="Times New Roman" w:hAnsi="Times New Roman" w:cs="Times New Roman"/>
                <w:sz w:val="18"/>
                <w:szCs w:val="18"/>
                <w:vertAlign w:val="superscript"/>
              </w:rPr>
              <w:t>3</w:t>
            </w:r>
            <w:r>
              <w:rPr>
                <w:rFonts w:hint="eastAsia" w:ascii="Times New Roman" w:hAnsi="Times New Roman" w:cs="Times New Roman"/>
                <w:sz w:val="18"/>
                <w:szCs w:val="18"/>
              </w:rPr>
              <w:t>H、</w:t>
            </w:r>
            <w:r>
              <w:rPr>
                <w:rFonts w:hint="eastAsia" w:ascii="Times New Roman" w:hAnsi="Times New Roman" w:cs="Times New Roman"/>
                <w:sz w:val="18"/>
                <w:szCs w:val="18"/>
                <w:vertAlign w:val="superscript"/>
              </w:rPr>
              <w:t>14</w:t>
            </w:r>
            <w:r>
              <w:rPr>
                <w:rFonts w:hint="eastAsia" w:ascii="Times New Roman" w:hAnsi="Times New Roman" w:cs="Times New Roman"/>
                <w:sz w:val="18"/>
                <w:szCs w:val="18"/>
              </w:rPr>
              <w:t>C、</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Sr、γ能谱）</w:t>
            </w:r>
          </w:p>
        </w:tc>
        <w:tc>
          <w:tcPr>
            <w:tcW w:w="616" w:type="pct"/>
            <w:shd w:val="clear" w:color="auto" w:fill="auto"/>
            <w:vAlign w:val="center"/>
          </w:tcPr>
          <w:p w14:paraId="3878B496">
            <w:pPr>
              <w:jc w:val="left"/>
              <w:rPr>
                <w:rFonts w:cs="宋体" w:asciiTheme="minorEastAsia" w:hAnsiTheme="minorEastAsia"/>
                <w:sz w:val="18"/>
                <w:szCs w:val="18"/>
              </w:rPr>
            </w:pPr>
            <w:r>
              <w:rPr>
                <w:rFonts w:hint="eastAsia" w:ascii="Times New Roman" w:hAnsi="Times New Roman" w:cs="Times New Roman"/>
                <w:sz w:val="18"/>
                <w:szCs w:val="18"/>
              </w:rPr>
              <w:t>气溶胶（γ能谱、</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w:t>
            </w:r>
            <w:r>
              <w:rPr>
                <w:rFonts w:hint="eastAsia" w:ascii="Times New Roman" w:hAnsi="Times New Roman" w:cs="Times New Roman"/>
                <w:sz w:val="18"/>
                <w:szCs w:val="18"/>
                <w:vertAlign w:val="superscript"/>
              </w:rPr>
              <w:t>137</w:t>
            </w:r>
            <w:r>
              <w:rPr>
                <w:rFonts w:hint="eastAsia" w:ascii="Times New Roman" w:hAnsi="Times New Roman" w:cs="Times New Roman"/>
                <w:sz w:val="18"/>
                <w:szCs w:val="18"/>
              </w:rPr>
              <w:t>Cs）、空气中碘（γ能谱）、沉降物（γ能谱、</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w:t>
            </w:r>
            <w:r>
              <w:rPr>
                <w:rFonts w:hint="eastAsia" w:ascii="Times New Roman" w:hAnsi="Times New Roman" w:cs="Times New Roman"/>
                <w:sz w:val="18"/>
                <w:szCs w:val="18"/>
                <w:vertAlign w:val="superscript"/>
              </w:rPr>
              <w:t>137</w:t>
            </w:r>
            <w:r>
              <w:rPr>
                <w:rFonts w:hint="eastAsia" w:ascii="Times New Roman" w:hAnsi="Times New Roman" w:cs="Times New Roman"/>
                <w:sz w:val="18"/>
                <w:szCs w:val="18"/>
              </w:rPr>
              <w:t>Cs）、空气水分（</w:t>
            </w:r>
            <w:r>
              <w:rPr>
                <w:rFonts w:hint="eastAsia" w:ascii="Times New Roman" w:hAnsi="Times New Roman" w:cs="Times New Roman"/>
                <w:sz w:val="18"/>
                <w:szCs w:val="18"/>
                <w:vertAlign w:val="superscript"/>
              </w:rPr>
              <w:t>3</w:t>
            </w:r>
            <w:r>
              <w:rPr>
                <w:rFonts w:hint="eastAsia" w:ascii="Times New Roman" w:hAnsi="Times New Roman" w:cs="Times New Roman"/>
                <w:sz w:val="18"/>
                <w:szCs w:val="18"/>
              </w:rPr>
              <w:t>H）、降水（</w:t>
            </w:r>
            <w:r>
              <w:rPr>
                <w:rFonts w:hint="eastAsia" w:ascii="Times New Roman" w:hAnsi="Times New Roman" w:cs="Times New Roman"/>
                <w:sz w:val="18"/>
                <w:szCs w:val="18"/>
                <w:vertAlign w:val="superscript"/>
              </w:rPr>
              <w:t>3</w:t>
            </w:r>
            <w:r>
              <w:rPr>
                <w:rFonts w:hint="eastAsia" w:ascii="Times New Roman" w:hAnsi="Times New Roman" w:cs="Times New Roman"/>
                <w:sz w:val="18"/>
                <w:szCs w:val="18"/>
              </w:rPr>
              <w:t>H）</w:t>
            </w:r>
          </w:p>
        </w:tc>
        <w:tc>
          <w:tcPr>
            <w:tcW w:w="492" w:type="pct"/>
            <w:shd w:val="clear" w:color="auto" w:fill="auto"/>
            <w:vAlign w:val="center"/>
          </w:tcPr>
          <w:p w14:paraId="09B4A89A">
            <w:pPr>
              <w:jc w:val="left"/>
              <w:rPr>
                <w:rFonts w:cs="宋体" w:asciiTheme="minorEastAsia" w:hAnsiTheme="minorEastAsia"/>
                <w:sz w:val="18"/>
                <w:szCs w:val="18"/>
              </w:rPr>
            </w:pPr>
            <w:r>
              <w:rPr>
                <w:rFonts w:hint="eastAsia" w:ascii="Times New Roman" w:hAnsi="Times New Roman" w:cs="Times New Roman"/>
                <w:sz w:val="18"/>
                <w:szCs w:val="18"/>
              </w:rPr>
              <w:t>海洋生物（</w:t>
            </w:r>
            <w:r>
              <w:rPr>
                <w:rFonts w:hint="eastAsia" w:ascii="Times New Roman" w:hAnsi="Times New Roman" w:cs="Times New Roman"/>
                <w:sz w:val="18"/>
                <w:szCs w:val="18"/>
                <w:vertAlign w:val="superscript"/>
              </w:rPr>
              <w:t>3</w:t>
            </w:r>
            <w:r>
              <w:rPr>
                <w:rFonts w:hint="eastAsia" w:ascii="Times New Roman" w:hAnsi="Times New Roman" w:cs="Times New Roman"/>
                <w:sz w:val="18"/>
                <w:szCs w:val="18"/>
              </w:rPr>
              <w:t>H、</w:t>
            </w:r>
            <w:r>
              <w:rPr>
                <w:rFonts w:hint="eastAsia" w:ascii="Times New Roman" w:hAnsi="Times New Roman" w:cs="Times New Roman"/>
                <w:sz w:val="18"/>
                <w:szCs w:val="18"/>
                <w:vertAlign w:val="superscript"/>
              </w:rPr>
              <w:t>14</w:t>
            </w:r>
            <w:r>
              <w:rPr>
                <w:rFonts w:hint="eastAsia" w:ascii="Times New Roman" w:hAnsi="Times New Roman" w:cs="Times New Roman"/>
                <w:sz w:val="18"/>
                <w:szCs w:val="18"/>
              </w:rPr>
              <w:t>C、</w:t>
            </w:r>
            <w:r>
              <w:rPr>
                <w:rFonts w:hint="eastAsia" w:ascii="Times New Roman" w:hAnsi="Times New Roman" w:cs="Times New Roman"/>
                <w:sz w:val="18"/>
                <w:szCs w:val="18"/>
                <w:vertAlign w:val="superscript"/>
              </w:rPr>
              <w:t>90</w:t>
            </w:r>
            <w:r>
              <w:rPr>
                <w:rFonts w:hint="eastAsia" w:ascii="Times New Roman" w:hAnsi="Times New Roman" w:cs="Times New Roman"/>
                <w:sz w:val="18"/>
                <w:szCs w:val="18"/>
              </w:rPr>
              <w:t>Sr、γ能谱）</w:t>
            </w:r>
          </w:p>
        </w:tc>
      </w:tr>
    </w:tbl>
    <w:p w14:paraId="1B782B93"/>
    <w:p w14:paraId="6C2C72C0">
      <w:pPr>
        <w:spacing w:line="560" w:lineRule="exact"/>
        <w:ind w:firstLine="640" w:firstLineChars="200"/>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14:paraId="003B337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此次制定标准，参考借鉴了上述标准、规范及实践经验，并充分考虑宁夏自然地理及核技术利用情况，拟定宁夏天然放射性环境调查的调查对象和检测项目，见表5-2。</w:t>
      </w:r>
    </w:p>
    <w:p w14:paraId="7A328F61">
      <w:pPr>
        <w:pStyle w:val="29"/>
        <w:spacing w:line="560" w:lineRule="exact"/>
        <w:ind w:firstLine="56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表5-</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 xml:space="preserve"> 天然放射性环境调查工作检测项目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319"/>
        <w:gridCol w:w="4407"/>
      </w:tblGrid>
      <w:tr w14:paraId="39B9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2"/>
            <w:vAlign w:val="center"/>
          </w:tcPr>
          <w:p w14:paraId="00B3880F">
            <w:pPr>
              <w:pStyle w:val="29"/>
              <w:widowControl w:val="0"/>
              <w:spacing w:before="120" w:after="120"/>
              <w:ind w:firstLine="0" w:firstLineChars="0"/>
              <w:jc w:val="center"/>
            </w:pPr>
            <w:r>
              <w:rPr>
                <w:rFonts w:hint="eastAsia"/>
              </w:rPr>
              <w:t>调查对象</w:t>
            </w:r>
          </w:p>
        </w:tc>
        <w:tc>
          <w:tcPr>
            <w:tcW w:w="4407" w:type="dxa"/>
            <w:vAlign w:val="center"/>
          </w:tcPr>
          <w:p w14:paraId="02776711">
            <w:pPr>
              <w:pStyle w:val="29"/>
              <w:widowControl w:val="0"/>
              <w:spacing w:before="120" w:after="120"/>
              <w:ind w:firstLine="0" w:firstLineChars="0"/>
              <w:jc w:val="center"/>
            </w:pPr>
            <w:r>
              <w:rPr>
                <w:rFonts w:hint="eastAsia"/>
              </w:rPr>
              <w:t>检测项目</w:t>
            </w:r>
          </w:p>
        </w:tc>
      </w:tr>
      <w:tr w14:paraId="030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2"/>
            <w:vAlign w:val="center"/>
          </w:tcPr>
          <w:p w14:paraId="240DF7BF">
            <w:pPr>
              <w:pStyle w:val="29"/>
              <w:widowControl w:val="0"/>
              <w:spacing w:before="120" w:after="120"/>
              <w:ind w:firstLine="0" w:firstLineChars="0"/>
              <w:jc w:val="center"/>
            </w:pPr>
            <w:r>
              <w:rPr>
                <w:rFonts w:hint="eastAsia"/>
              </w:rPr>
              <w:t>陆地γ辐射</w:t>
            </w:r>
          </w:p>
        </w:tc>
        <w:tc>
          <w:tcPr>
            <w:tcW w:w="4407" w:type="dxa"/>
            <w:vAlign w:val="center"/>
          </w:tcPr>
          <w:p w14:paraId="46E61043">
            <w:pPr>
              <w:pStyle w:val="29"/>
              <w:widowControl w:val="0"/>
              <w:spacing w:before="120" w:after="120"/>
              <w:ind w:firstLine="0" w:firstLineChars="0"/>
              <w:jc w:val="center"/>
            </w:pPr>
            <w:r>
              <w:rPr>
                <w:rFonts w:hint="eastAsia"/>
              </w:rPr>
              <w:t>γ辐射空气吸收剂量率</w:t>
            </w:r>
          </w:p>
        </w:tc>
      </w:tr>
      <w:tr w14:paraId="47F4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7" w:type="dxa"/>
            <w:gridSpan w:val="2"/>
            <w:vMerge w:val="restart"/>
            <w:vAlign w:val="center"/>
          </w:tcPr>
          <w:p w14:paraId="4A61D4E5">
            <w:pPr>
              <w:pStyle w:val="29"/>
              <w:widowControl w:val="0"/>
              <w:spacing w:before="120" w:after="120"/>
              <w:ind w:firstLine="0" w:firstLineChars="0"/>
              <w:jc w:val="center"/>
            </w:pPr>
            <w:r>
              <w:rPr>
                <w:rFonts w:hint="eastAsia"/>
              </w:rPr>
              <w:t>土壤</w:t>
            </w:r>
          </w:p>
        </w:tc>
        <w:tc>
          <w:tcPr>
            <w:tcW w:w="4407" w:type="dxa"/>
            <w:vAlign w:val="center"/>
          </w:tcPr>
          <w:p w14:paraId="26312F69">
            <w:pPr>
              <w:pStyle w:val="29"/>
              <w:widowControl w:val="0"/>
              <w:spacing w:before="120" w:after="120"/>
              <w:ind w:firstLine="0" w:firstLineChars="0"/>
              <w:jc w:val="center"/>
            </w:pPr>
            <w:r>
              <w:rPr>
                <w:rFonts w:hint="eastAsia"/>
              </w:rPr>
              <w:t>γ能谱</w:t>
            </w:r>
            <w:r>
              <w:rPr>
                <w:rFonts w:hint="eastAsia"/>
                <w:vertAlign w:val="superscript"/>
              </w:rPr>
              <w:t>a</w:t>
            </w:r>
          </w:p>
        </w:tc>
      </w:tr>
      <w:tr w14:paraId="5310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2"/>
            <w:vMerge w:val="continue"/>
            <w:vAlign w:val="center"/>
          </w:tcPr>
          <w:p w14:paraId="0BF5EBE9">
            <w:pPr>
              <w:pStyle w:val="29"/>
              <w:widowControl w:val="0"/>
              <w:spacing w:before="120" w:after="120"/>
              <w:ind w:firstLine="0" w:firstLineChars="0"/>
              <w:jc w:val="center"/>
            </w:pPr>
          </w:p>
        </w:tc>
        <w:tc>
          <w:tcPr>
            <w:tcW w:w="4407" w:type="dxa"/>
            <w:vAlign w:val="center"/>
          </w:tcPr>
          <w:p w14:paraId="7467F433">
            <w:pPr>
              <w:pStyle w:val="29"/>
              <w:widowControl w:val="0"/>
              <w:spacing w:before="120" w:after="120"/>
              <w:ind w:firstLine="0" w:firstLineChars="0"/>
              <w:jc w:val="center"/>
            </w:pPr>
            <w:r>
              <w:rPr>
                <w:rFonts w:hint="eastAsia"/>
              </w:rPr>
              <w:t>氡</w:t>
            </w:r>
          </w:p>
        </w:tc>
      </w:tr>
      <w:tr w14:paraId="4559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restart"/>
            <w:vAlign w:val="center"/>
          </w:tcPr>
          <w:p w14:paraId="33BFF44D">
            <w:pPr>
              <w:pStyle w:val="29"/>
              <w:widowControl w:val="0"/>
              <w:spacing w:before="120" w:after="120"/>
              <w:ind w:firstLine="0" w:firstLineChars="0"/>
              <w:jc w:val="center"/>
            </w:pPr>
            <w:r>
              <w:rPr>
                <w:rFonts w:hint="eastAsia"/>
              </w:rPr>
              <w:t>空气</w:t>
            </w:r>
          </w:p>
        </w:tc>
        <w:tc>
          <w:tcPr>
            <w:tcW w:w="1319" w:type="dxa"/>
            <w:vAlign w:val="center"/>
          </w:tcPr>
          <w:p w14:paraId="660BFCF2">
            <w:pPr>
              <w:pStyle w:val="29"/>
              <w:widowControl w:val="0"/>
              <w:spacing w:before="120" w:after="120"/>
              <w:ind w:firstLine="0" w:firstLineChars="0"/>
              <w:jc w:val="center"/>
            </w:pPr>
            <w:r>
              <w:rPr>
                <w:rFonts w:hint="eastAsia"/>
              </w:rPr>
              <w:t>环境氡</w:t>
            </w:r>
          </w:p>
        </w:tc>
        <w:tc>
          <w:tcPr>
            <w:tcW w:w="4407" w:type="dxa"/>
            <w:vAlign w:val="center"/>
          </w:tcPr>
          <w:p w14:paraId="74F3BAFC">
            <w:pPr>
              <w:pStyle w:val="29"/>
              <w:widowControl w:val="0"/>
              <w:spacing w:before="120" w:after="120"/>
              <w:ind w:firstLine="0" w:firstLineChars="0"/>
              <w:jc w:val="center"/>
            </w:pPr>
            <w:r>
              <w:rPr>
                <w:rFonts w:hint="eastAsia"/>
              </w:rPr>
              <w:t>氡</w:t>
            </w:r>
            <w:r>
              <w:rPr>
                <w:rFonts w:hint="eastAsia"/>
                <w:vertAlign w:val="superscript"/>
              </w:rPr>
              <w:t>b</w:t>
            </w:r>
          </w:p>
        </w:tc>
      </w:tr>
      <w:tr w14:paraId="01A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continue"/>
            <w:vAlign w:val="center"/>
          </w:tcPr>
          <w:p w14:paraId="0CBA7544">
            <w:pPr>
              <w:pStyle w:val="29"/>
              <w:widowControl w:val="0"/>
              <w:spacing w:before="120" w:after="120"/>
              <w:ind w:firstLine="0" w:firstLineChars="0"/>
              <w:jc w:val="center"/>
            </w:pPr>
          </w:p>
        </w:tc>
        <w:tc>
          <w:tcPr>
            <w:tcW w:w="1319" w:type="dxa"/>
            <w:shd w:val="clear" w:color="auto" w:fill="auto"/>
            <w:vAlign w:val="center"/>
          </w:tcPr>
          <w:p w14:paraId="68316301">
            <w:pPr>
              <w:pStyle w:val="29"/>
              <w:widowControl w:val="0"/>
              <w:spacing w:before="120" w:after="120"/>
              <w:ind w:firstLine="0" w:firstLineChars="0"/>
              <w:jc w:val="center"/>
            </w:pPr>
            <w:r>
              <w:rPr>
                <w:rFonts w:hint="eastAsia"/>
              </w:rPr>
              <w:t>沉降物</w:t>
            </w:r>
          </w:p>
        </w:tc>
        <w:tc>
          <w:tcPr>
            <w:tcW w:w="4407" w:type="dxa"/>
            <w:vMerge w:val="restart"/>
            <w:shd w:val="clear" w:color="auto" w:fill="auto"/>
            <w:vAlign w:val="center"/>
          </w:tcPr>
          <w:p w14:paraId="49B00B22">
            <w:pPr>
              <w:pStyle w:val="29"/>
              <w:widowControl w:val="0"/>
              <w:spacing w:before="120" w:after="120"/>
              <w:ind w:firstLine="0" w:firstLineChars="0"/>
              <w:jc w:val="center"/>
            </w:pPr>
            <w:r>
              <w:rPr>
                <w:rFonts w:hint="eastAsia"/>
              </w:rPr>
              <w:t>总α、总β、γ能谱</w:t>
            </w:r>
            <w:r>
              <w:rPr>
                <w:rFonts w:hint="eastAsia"/>
                <w:vertAlign w:val="superscript"/>
              </w:rPr>
              <w:t>a</w:t>
            </w:r>
          </w:p>
        </w:tc>
      </w:tr>
      <w:tr w14:paraId="442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continue"/>
            <w:vAlign w:val="center"/>
          </w:tcPr>
          <w:p w14:paraId="23750F9F">
            <w:pPr>
              <w:pStyle w:val="29"/>
              <w:widowControl w:val="0"/>
              <w:spacing w:before="120" w:after="120"/>
              <w:ind w:firstLine="0" w:firstLineChars="0"/>
              <w:jc w:val="center"/>
            </w:pPr>
          </w:p>
        </w:tc>
        <w:tc>
          <w:tcPr>
            <w:tcW w:w="1319" w:type="dxa"/>
            <w:shd w:val="clear" w:color="auto" w:fill="auto"/>
            <w:vAlign w:val="center"/>
          </w:tcPr>
          <w:p w14:paraId="5CE5058D">
            <w:pPr>
              <w:pStyle w:val="29"/>
              <w:widowControl w:val="0"/>
              <w:spacing w:before="120" w:after="120"/>
              <w:ind w:firstLine="0" w:firstLineChars="0"/>
              <w:jc w:val="center"/>
            </w:pPr>
            <w:r>
              <w:rPr>
                <w:rFonts w:hint="eastAsia"/>
              </w:rPr>
              <w:t>气溶胶</w:t>
            </w:r>
          </w:p>
        </w:tc>
        <w:tc>
          <w:tcPr>
            <w:tcW w:w="4407" w:type="dxa"/>
            <w:vMerge w:val="continue"/>
            <w:shd w:val="clear" w:color="auto" w:fill="auto"/>
            <w:vAlign w:val="center"/>
          </w:tcPr>
          <w:p w14:paraId="5912DFCE">
            <w:pPr>
              <w:pStyle w:val="29"/>
              <w:widowControl w:val="0"/>
              <w:spacing w:before="120" w:after="120"/>
              <w:ind w:firstLine="0" w:firstLineChars="0"/>
              <w:jc w:val="center"/>
            </w:pPr>
          </w:p>
        </w:tc>
      </w:tr>
      <w:tr w14:paraId="6D10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restart"/>
            <w:vAlign w:val="center"/>
          </w:tcPr>
          <w:p w14:paraId="37AA0390">
            <w:pPr>
              <w:pStyle w:val="29"/>
              <w:widowControl w:val="0"/>
              <w:spacing w:before="120" w:after="120"/>
              <w:ind w:firstLine="0" w:firstLineChars="0"/>
              <w:jc w:val="center"/>
            </w:pPr>
            <w:r>
              <w:rPr>
                <w:rFonts w:hint="eastAsia"/>
              </w:rPr>
              <w:t>水体</w:t>
            </w:r>
          </w:p>
        </w:tc>
        <w:tc>
          <w:tcPr>
            <w:tcW w:w="1319" w:type="dxa"/>
            <w:vAlign w:val="center"/>
          </w:tcPr>
          <w:p w14:paraId="10577A4A">
            <w:pPr>
              <w:pStyle w:val="29"/>
              <w:widowControl w:val="0"/>
              <w:spacing w:before="120" w:after="120"/>
              <w:ind w:firstLine="0" w:firstLineChars="0"/>
              <w:jc w:val="center"/>
            </w:pPr>
            <w:r>
              <w:rPr>
                <w:rFonts w:hint="eastAsia"/>
              </w:rPr>
              <w:t>地表水</w:t>
            </w:r>
          </w:p>
        </w:tc>
        <w:tc>
          <w:tcPr>
            <w:tcW w:w="4407" w:type="dxa"/>
            <w:vMerge w:val="restart"/>
            <w:vAlign w:val="center"/>
          </w:tcPr>
          <w:p w14:paraId="06FB2D99">
            <w:pPr>
              <w:pStyle w:val="29"/>
              <w:widowControl w:val="0"/>
              <w:spacing w:before="120" w:after="120"/>
              <w:ind w:firstLine="0" w:firstLineChars="0"/>
              <w:jc w:val="center"/>
            </w:pPr>
            <w:r>
              <w:rPr>
                <w:rFonts w:hint="eastAsia"/>
              </w:rPr>
              <w:t>总α</w:t>
            </w:r>
            <w:r>
              <w:rPr>
                <w:rFonts w:hint="eastAsia"/>
                <w:vertAlign w:val="superscript"/>
              </w:rPr>
              <w:t>c</w:t>
            </w:r>
            <w:r>
              <w:rPr>
                <w:rFonts w:hint="eastAsia"/>
              </w:rPr>
              <w:t>、总β</w:t>
            </w:r>
            <w:r>
              <w:rPr>
                <w:rFonts w:hint="eastAsia"/>
                <w:vertAlign w:val="superscript"/>
              </w:rPr>
              <w:t>c</w:t>
            </w:r>
            <w:r>
              <w:rPr>
                <w:rFonts w:hint="eastAsia"/>
              </w:rPr>
              <w:t>、U、Th、</w:t>
            </w:r>
            <w:r>
              <w:rPr>
                <w:rFonts w:hint="eastAsia"/>
                <w:vertAlign w:val="superscript"/>
              </w:rPr>
              <w:t>226</w:t>
            </w:r>
            <w:r>
              <w:rPr>
                <w:rFonts w:hint="eastAsia"/>
              </w:rPr>
              <w:t>Ra</w:t>
            </w:r>
          </w:p>
        </w:tc>
      </w:tr>
      <w:tr w14:paraId="5957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continue"/>
            <w:vAlign w:val="center"/>
          </w:tcPr>
          <w:p w14:paraId="3CD4DFF6">
            <w:pPr>
              <w:pStyle w:val="29"/>
              <w:widowControl w:val="0"/>
              <w:spacing w:before="120" w:after="120"/>
              <w:ind w:firstLine="0" w:firstLineChars="0"/>
              <w:jc w:val="center"/>
            </w:pPr>
          </w:p>
        </w:tc>
        <w:tc>
          <w:tcPr>
            <w:tcW w:w="1319" w:type="dxa"/>
            <w:vAlign w:val="center"/>
          </w:tcPr>
          <w:p w14:paraId="4DA0B81C">
            <w:pPr>
              <w:pStyle w:val="29"/>
              <w:widowControl w:val="0"/>
              <w:spacing w:before="120" w:after="120"/>
              <w:ind w:firstLine="0" w:firstLineChars="0"/>
              <w:jc w:val="center"/>
            </w:pPr>
            <w:r>
              <w:rPr>
                <w:rFonts w:hint="eastAsia"/>
              </w:rPr>
              <w:t>地下水</w:t>
            </w:r>
          </w:p>
        </w:tc>
        <w:tc>
          <w:tcPr>
            <w:tcW w:w="4407" w:type="dxa"/>
            <w:vMerge w:val="continue"/>
            <w:vAlign w:val="center"/>
          </w:tcPr>
          <w:p w14:paraId="29C3D88C">
            <w:pPr>
              <w:pStyle w:val="29"/>
              <w:widowControl w:val="0"/>
              <w:spacing w:before="120" w:after="120"/>
              <w:ind w:firstLine="0" w:firstLineChars="0"/>
              <w:jc w:val="center"/>
            </w:pPr>
          </w:p>
        </w:tc>
      </w:tr>
      <w:tr w14:paraId="5B1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continue"/>
            <w:vAlign w:val="center"/>
          </w:tcPr>
          <w:p w14:paraId="052080F6">
            <w:pPr>
              <w:pStyle w:val="29"/>
              <w:widowControl w:val="0"/>
              <w:spacing w:before="120" w:after="120"/>
              <w:ind w:firstLine="0" w:firstLineChars="0"/>
              <w:jc w:val="center"/>
            </w:pPr>
          </w:p>
        </w:tc>
        <w:tc>
          <w:tcPr>
            <w:tcW w:w="1319" w:type="dxa"/>
            <w:vAlign w:val="center"/>
          </w:tcPr>
          <w:p w14:paraId="4B0018A3">
            <w:pPr>
              <w:pStyle w:val="29"/>
              <w:widowControl w:val="0"/>
              <w:spacing w:before="120" w:after="120"/>
              <w:ind w:firstLine="0" w:firstLineChars="0"/>
              <w:jc w:val="center"/>
            </w:pPr>
            <w:r>
              <w:rPr>
                <w:rFonts w:hint="eastAsia"/>
              </w:rPr>
              <w:t>沉积物（河川、湖泊）</w:t>
            </w:r>
          </w:p>
        </w:tc>
        <w:tc>
          <w:tcPr>
            <w:tcW w:w="4407" w:type="dxa"/>
            <w:vAlign w:val="center"/>
          </w:tcPr>
          <w:p w14:paraId="5DBDF2B0">
            <w:pPr>
              <w:pStyle w:val="29"/>
              <w:widowControl w:val="0"/>
              <w:spacing w:before="120" w:after="120"/>
              <w:ind w:firstLine="0" w:firstLineChars="0"/>
              <w:jc w:val="center"/>
            </w:pPr>
            <w:r>
              <w:rPr>
                <w:rFonts w:hint="eastAsia"/>
              </w:rPr>
              <w:t>γ能谱</w:t>
            </w:r>
            <w:r>
              <w:rPr>
                <w:rFonts w:hint="eastAsia"/>
                <w:vertAlign w:val="superscript"/>
              </w:rPr>
              <w:t>a</w:t>
            </w:r>
          </w:p>
        </w:tc>
      </w:tr>
      <w:tr w14:paraId="0D2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gridSpan w:val="2"/>
            <w:vAlign w:val="center"/>
          </w:tcPr>
          <w:p w14:paraId="335EE4E8">
            <w:pPr>
              <w:pStyle w:val="29"/>
              <w:widowControl w:val="0"/>
              <w:spacing w:before="120" w:after="120"/>
              <w:ind w:firstLine="0" w:firstLineChars="0"/>
              <w:jc w:val="center"/>
            </w:pPr>
            <w:r>
              <w:rPr>
                <w:rFonts w:hint="eastAsia"/>
              </w:rPr>
              <w:t>生物</w:t>
            </w:r>
          </w:p>
        </w:tc>
        <w:tc>
          <w:tcPr>
            <w:tcW w:w="4407" w:type="dxa"/>
            <w:vAlign w:val="center"/>
          </w:tcPr>
          <w:p w14:paraId="5A80756A">
            <w:pPr>
              <w:pStyle w:val="29"/>
              <w:widowControl w:val="0"/>
              <w:spacing w:before="120" w:after="120"/>
              <w:ind w:firstLine="0" w:firstLineChars="0"/>
              <w:jc w:val="center"/>
            </w:pPr>
            <w:r>
              <w:rPr>
                <w:rFonts w:hint="eastAsia"/>
              </w:rPr>
              <w:t>γ能谱</w:t>
            </w:r>
            <w:r>
              <w:rPr>
                <w:rFonts w:hint="eastAsia"/>
                <w:vertAlign w:val="superscript"/>
              </w:rPr>
              <w:t>a</w:t>
            </w:r>
          </w:p>
        </w:tc>
      </w:tr>
      <w:tr w14:paraId="5BB9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6634" w:type="dxa"/>
            <w:gridSpan w:val="3"/>
            <w:vAlign w:val="center"/>
          </w:tcPr>
          <w:p w14:paraId="6D2A3D67">
            <w:pPr>
              <w:pStyle w:val="29"/>
              <w:widowControl w:val="0"/>
              <w:spacing w:before="120" w:after="120"/>
              <w:ind w:firstLine="420"/>
            </w:pPr>
            <w:r>
              <w:rPr>
                <w:rFonts w:hint="eastAsia"/>
              </w:rPr>
              <w:t>a.土壤、气溶胶、沉降物、沉积物（底泥）、生物γ能谱分析项目一般包括</w:t>
            </w:r>
            <w:r>
              <w:rPr>
                <w:rFonts w:hint="eastAsia"/>
                <w:vertAlign w:val="superscript"/>
              </w:rPr>
              <w:t>238</w:t>
            </w:r>
            <w:r>
              <w:rPr>
                <w:rFonts w:hint="eastAsia"/>
              </w:rPr>
              <w:t>U、</w:t>
            </w:r>
            <w:r>
              <w:rPr>
                <w:rFonts w:hint="eastAsia"/>
                <w:vertAlign w:val="superscript"/>
              </w:rPr>
              <w:t>232</w:t>
            </w:r>
            <w:r>
              <w:rPr>
                <w:rFonts w:hint="eastAsia"/>
              </w:rPr>
              <w:t>Th、</w:t>
            </w:r>
            <w:r>
              <w:rPr>
                <w:rFonts w:hint="eastAsia"/>
                <w:vertAlign w:val="superscript"/>
              </w:rPr>
              <w:t>226</w:t>
            </w:r>
            <w:r>
              <w:rPr>
                <w:rFonts w:hint="eastAsia"/>
              </w:rPr>
              <w:t>Ra、</w:t>
            </w:r>
            <w:r>
              <w:rPr>
                <w:rFonts w:hint="eastAsia"/>
                <w:vertAlign w:val="superscript"/>
              </w:rPr>
              <w:t>40</w:t>
            </w:r>
            <w:r>
              <w:rPr>
                <w:rFonts w:hint="eastAsia"/>
              </w:rPr>
              <w:t>K等放射性核素，可根据工作需求增减分析项目。</w:t>
            </w:r>
          </w:p>
          <w:p w14:paraId="08827722">
            <w:pPr>
              <w:pStyle w:val="29"/>
              <w:widowControl w:val="0"/>
              <w:spacing w:before="120" w:after="120"/>
              <w:ind w:firstLine="420"/>
            </w:pPr>
            <w:r>
              <w:rPr>
                <w:rFonts w:hint="eastAsia"/>
              </w:rPr>
              <w:t>b.室外空气氡仅在伴生放射性矿开发利用单位等区域开展，其他调查对象根据工作需求选测；室内空气氡仅在民用建筑内开展。</w:t>
            </w:r>
          </w:p>
          <w:p w14:paraId="1020F73F">
            <w:pPr>
              <w:pStyle w:val="29"/>
              <w:widowControl w:val="0"/>
              <w:spacing w:before="120" w:after="120"/>
              <w:ind w:firstLine="420"/>
            </w:pPr>
            <w:r>
              <w:rPr>
                <w:rFonts w:hint="eastAsia"/>
              </w:rPr>
              <w:t>c.若总α、总β超过GB 5749规定的饮用水指导值，则加测γ能谱，地表水、饮用水源地再加测</w:t>
            </w:r>
            <w:r>
              <w:rPr>
                <w:rFonts w:hint="eastAsia"/>
                <w:vertAlign w:val="superscript"/>
              </w:rPr>
              <w:t>228</w:t>
            </w:r>
            <w:r>
              <w:rPr>
                <w:rFonts w:hint="eastAsia"/>
              </w:rPr>
              <w:t>Ra。</w:t>
            </w:r>
          </w:p>
        </w:tc>
      </w:tr>
    </w:tbl>
    <w:p w14:paraId="04C36413">
      <w:pPr>
        <w:pStyle w:val="29"/>
        <w:spacing w:line="560" w:lineRule="exact"/>
        <w:ind w:firstLine="560"/>
        <w:jc w:val="center"/>
        <w:rPr>
          <w:rFonts w:ascii="仿宋_GB2312" w:hAnsi="仿宋_GB2312" w:eastAsia="仿宋_GB2312" w:cs="仿宋_GB2312"/>
          <w:kern w:val="2"/>
          <w:sz w:val="28"/>
          <w:szCs w:val="28"/>
        </w:rPr>
      </w:pPr>
    </w:p>
    <w:p w14:paraId="56E2D390">
      <w:pPr>
        <w:spacing w:line="560" w:lineRule="exact"/>
        <w:ind w:firstLine="560" w:firstLineChars="200"/>
        <w:outlineLvl w:val="1"/>
        <w:rPr>
          <w:rFonts w:ascii="仿宋_GB2312" w:hAnsi="仿宋_GB2312" w:eastAsia="仿宋_GB2312" w:cs="仿宋_GB2312"/>
          <w:sz w:val="28"/>
          <w:szCs w:val="28"/>
        </w:rPr>
      </w:pPr>
      <w:bookmarkStart w:id="38" w:name="_Toc199516626"/>
      <w:bookmarkStart w:id="39" w:name="_Toc203050056"/>
      <w:r>
        <w:rPr>
          <w:rFonts w:hint="eastAsia" w:ascii="仿宋_GB2312" w:hAnsi="仿宋_GB2312" w:eastAsia="仿宋_GB2312" w:cs="仿宋_GB2312"/>
          <w:sz w:val="28"/>
          <w:szCs w:val="28"/>
        </w:rPr>
        <w:t>具体确定原则：</w:t>
      </w:r>
      <w:bookmarkEnd w:id="38"/>
      <w:bookmarkEnd w:id="39"/>
    </w:p>
    <w:p w14:paraId="56DB3106">
      <w:pPr>
        <w:pStyle w:val="22"/>
        <w:numPr>
          <w:ilvl w:val="0"/>
          <w:numId w:val="1"/>
        </w:numPr>
        <w:spacing w:line="560" w:lineRule="exact"/>
        <w:ind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γ辐射空气吸收剂量率、氡等现场直接测量项目</w:t>
      </w:r>
    </w:p>
    <w:p w14:paraId="31F49ABB">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γ辐射空气吸收剂量率：是环境辐射监测的重要组成部分，也是获得环境天然本地γ辐射水平的重要指标，包括了原野、道路和建筑物，如此开展测定是潘自强院士根据我国与欧美发达国家不同情况提出的，道路和建筑物反映了人为活动的影响，原野反映了自然状况。参考HJ 1157，依托网格布点开展γ辐射空气吸收剂量率的测量工作，通常情况网格结点处即为调查点，根据野外实际地理情况和γ辐射空气吸收剂量率异常（超过周围地区剂量率水平一倍以上），测量网格大小可适当调整，测点数随之增减，如沙漠等人类活动少的地区可适当增大网格，减少测点数目；再如γ辐射空气吸收剂量率异常区域，可减小网格，增加测点数目，确定异常范围和水平。</w:t>
      </w:r>
    </w:p>
    <w:p w14:paraId="3ACF748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里重点指出，γ辐射空气吸收剂量率异常的定义或数值在诸多文献中，尤其是国家规范中并未给出。在具体工作中，一般自行制定异常标准，如《第二次全国污染源普查伴生放射性矿监测技术规范（试行）》中要求异常筛选标准为固体表面1m处的γ辐射剂量率超过“当地本底水平”＋150nGy/h；在《全国辐射环境质量报告》中则使用了3σ准则和本地涨落方法进行筛选，依据的标准为GB/T 17989.2、GB/T 4883。从实践来看，环境中放射性数值较低，考虑操作难度，认为保持《环境天然放射性水平调查规定》（1986环放169号文）中规定较好，即γ辐射空气吸收剂量率异常筛选标准为超过周围地区剂量率水平一倍以上，本标准采用该规定。</w:t>
      </w:r>
    </w:p>
    <w:p w14:paraId="0FE0D2D3">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氡：包含了土壤氡和空气氡。</w:t>
      </w:r>
    </w:p>
    <w:p w14:paraId="3F04A8CB">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自发现氡以来，随着人们对氡的认识的深入，对氡可能产生的影响也日益重视，人类所受到的天然辐射的53%来自环境中的氡，而氡及其子体是产生肺癌的元凶之一，据世界卫生组织公布的数据表明:全世界每年有10多万人死于室内氡污染。大气中的氡主要来自于岩石和土壤中活动氡的贡献，据资料统计，空气中的氡有77.7%来源于陆地表面释放，且易溶于水，随着公众对氡危害的关注度越来越高，测量方法和仪器的不断完善和提高，国家、地方和相关行业相继出台了大量与氡有关的标准，如GB 50325《民用建筑工程室内环境污染控制标准》、</w:t>
      </w:r>
      <w:r>
        <w:rPr>
          <w:rFonts w:ascii="仿宋_GB2312" w:hAnsi="仿宋" w:eastAsia="仿宋_GB2312" w:cs="仿宋_GB2312"/>
          <w:sz w:val="28"/>
          <w:szCs w:val="28"/>
        </w:rPr>
        <w:t>GB/T 16143《</w:t>
      </w:r>
      <w:r>
        <w:rPr>
          <w:rFonts w:hint="eastAsia" w:ascii="仿宋_GB2312" w:hAnsi="仿宋" w:eastAsia="仿宋_GB2312" w:cs="仿宋_GB2312"/>
          <w:sz w:val="28"/>
          <w:szCs w:val="28"/>
        </w:rPr>
        <w:t>建筑物表面氡析出率的活性炭测量方法</w:t>
      </w:r>
      <w:r>
        <w:rPr>
          <w:rFonts w:ascii="仿宋_GB2312" w:hAnsi="仿宋" w:eastAsia="仿宋_GB2312" w:cs="仿宋_GB2312"/>
          <w:sz w:val="28"/>
          <w:szCs w:val="28"/>
        </w:rPr>
        <w:t>》、</w:t>
      </w:r>
      <w:r>
        <w:rPr>
          <w:rFonts w:hint="eastAsia" w:ascii="仿宋_GB2312" w:hAnsi="仿宋" w:eastAsia="仿宋_GB2312" w:cs="仿宋_GB2312"/>
          <w:sz w:val="28"/>
          <w:szCs w:val="28"/>
        </w:rPr>
        <w:t>GB/T 16146《室内氡及其子体控制要求》、</w:t>
      </w:r>
      <w:r>
        <w:rPr>
          <w:rFonts w:ascii="仿宋_GB2312" w:hAnsi="仿宋" w:eastAsia="仿宋_GB2312" w:cs="仿宋_GB2312"/>
          <w:sz w:val="28"/>
          <w:szCs w:val="28"/>
        </w:rPr>
        <w:t>GB/T 17785《</w:t>
      </w:r>
      <w:r>
        <w:rPr>
          <w:rFonts w:hint="eastAsia" w:ascii="仿宋_GB2312" w:hAnsi="仿宋" w:eastAsia="仿宋_GB2312" w:cs="仿宋_GB2312"/>
          <w:sz w:val="28"/>
          <w:szCs w:val="28"/>
        </w:rPr>
        <w:t>新建低层住宅建筑设计与施工中氡控制导则</w:t>
      </w:r>
      <w:r>
        <w:rPr>
          <w:rFonts w:ascii="仿宋_GB2312" w:hAnsi="仿宋" w:eastAsia="仿宋_GB2312" w:cs="仿宋_GB2312"/>
          <w:sz w:val="28"/>
          <w:szCs w:val="28"/>
        </w:rPr>
        <w:t>》、</w:t>
      </w:r>
      <w:r>
        <w:rPr>
          <w:rFonts w:hint="eastAsia" w:ascii="仿宋_GB2312" w:hAnsi="仿宋" w:eastAsia="仿宋_GB2312" w:cs="仿宋_GB2312"/>
          <w:sz w:val="28"/>
          <w:szCs w:val="28"/>
        </w:rPr>
        <w:t>DB37/T 5263《民用建筑氡检测与防治技术标准》、</w:t>
      </w:r>
      <w:r>
        <w:rPr>
          <w:rFonts w:ascii="仿宋_GB2312" w:hAnsi="仿宋" w:eastAsia="仿宋_GB2312" w:cs="仿宋_GB2312"/>
          <w:sz w:val="28"/>
          <w:szCs w:val="28"/>
        </w:rPr>
        <w:t>DB45/T 2700《</w:t>
      </w:r>
      <w:r>
        <w:rPr>
          <w:rFonts w:hint="eastAsia" w:ascii="仿宋_GB2312" w:hAnsi="仿宋" w:eastAsia="仿宋_GB2312" w:cs="仿宋_GB2312"/>
          <w:sz w:val="28"/>
          <w:szCs w:val="28"/>
        </w:rPr>
        <w:t>环境地表氡析出率监测技术规范</w:t>
      </w:r>
      <w:r>
        <w:rPr>
          <w:rFonts w:ascii="仿宋_GB2312" w:hAnsi="仿宋" w:eastAsia="仿宋_GB2312" w:cs="仿宋_GB2312"/>
          <w:sz w:val="28"/>
          <w:szCs w:val="28"/>
        </w:rPr>
        <w:t>》、</w:t>
      </w:r>
      <w:r>
        <w:rPr>
          <w:rFonts w:hint="eastAsia" w:ascii="仿宋_GB2312" w:hAnsi="仿宋" w:eastAsia="仿宋_GB2312" w:cs="仿宋_GB2312"/>
          <w:sz w:val="28"/>
          <w:szCs w:val="28"/>
        </w:rPr>
        <w:t>EJ/T 359《铀矿井通风及排氡技术要求》、EJ/T 605《铀矿勘查氡及其子体测量规范》、HJ 1212《环境空气中氡的测量方法》、</w:t>
      </w:r>
      <w:r>
        <w:rPr>
          <w:rFonts w:ascii="仿宋_GB2312" w:hAnsi="仿宋" w:eastAsia="仿宋_GB2312" w:cs="仿宋_GB2312"/>
          <w:sz w:val="28"/>
          <w:szCs w:val="28"/>
        </w:rPr>
        <w:t>JGJ/T 349《</w:t>
      </w:r>
      <w:r>
        <w:rPr>
          <w:rFonts w:hint="eastAsia" w:ascii="仿宋_GB2312" w:hAnsi="仿宋" w:eastAsia="仿宋_GB2312" w:cs="仿宋_GB2312"/>
          <w:sz w:val="28"/>
          <w:szCs w:val="28"/>
        </w:rPr>
        <w:t>民用建筑氡防治技术规程</w:t>
      </w:r>
      <w:r>
        <w:rPr>
          <w:rFonts w:ascii="仿宋_GB2312" w:hAnsi="仿宋" w:eastAsia="仿宋_GB2312" w:cs="仿宋_GB2312"/>
          <w:sz w:val="28"/>
          <w:szCs w:val="28"/>
        </w:rPr>
        <w:t>》、</w:t>
      </w:r>
      <w:r>
        <w:rPr>
          <w:rFonts w:hint="eastAsia" w:ascii="仿宋_GB2312" w:hAnsi="仿宋" w:eastAsia="仿宋_GB2312" w:cs="仿宋_GB2312"/>
          <w:sz w:val="28"/>
          <w:szCs w:val="28"/>
        </w:rPr>
        <w:t>WS/T 668《公共地下建筑及地热水应用中氡的放射防护要求》等，因此本标准将氡作为重要的检测指标之一，包括土壤氡和空气氡。</w:t>
      </w:r>
    </w:p>
    <w:p w14:paraId="26DEFA35">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土壤氡参考GB 50325和EJ/T 605中规定：</w:t>
      </w:r>
    </w:p>
    <w:p w14:paraId="25D2674F">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土壤氡的调查点位置和数量与γ辐射空气吸收剂量率的调查点相同，局部区域点位可根据实际情况进行调整，避开凹地、陡坎和潮湿等无法检测的区域。</w:t>
      </w:r>
    </w:p>
    <w:p w14:paraId="13D20284">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氡的检测受到环境条件影响变化幅度较大，只有长时间的平均浓度才有意义。从实践来看，需要分为室内氡和室外氡。</w:t>
      </w:r>
    </w:p>
    <w:p w14:paraId="7AB739FF">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室内氡依据GB 18871《电离辐射防护与辐射源安全基本标准》，结合公众实际需求规定：</w:t>
      </w:r>
    </w:p>
    <w:p w14:paraId="6238E6BE">
      <w:pPr>
        <w:spacing w:line="56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rPr>
        <w:t>室内空气氡的调查点位置和数量与γ辐射空气吸收剂量率的民用建筑物调查点相同，局部区域点位可根据实际情况进行调整，避开无法检测的区域。这里规定民用建筑物，主要是考量公众需求。</w:t>
      </w:r>
    </w:p>
    <w:p w14:paraId="3BF8F1A6">
      <w:pPr>
        <w:spacing w:line="5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从宁夏地区实际情况来看，全区无核设施等单位，一般核技术利用单位不需要检测氡气，但是宁夏有伴生放射性矿开发利用单位，其区域内的尾矿、废石堆等中的放射性物质可能持续释放氡气，通过空气扩散至周边区域生态系统，因此作为宁夏地方标准，本标准指出要在伴生放射性矿开发利用单位等区域开展室外空气氡检测，采集相关数据，确保区域内天然放射性环境调查工作的全面性。所以室外空气氡调查点的布设方法按照GB 23726的规定执行。</w:t>
      </w:r>
    </w:p>
    <w:p w14:paraId="63823307">
      <w:pPr>
        <w:pStyle w:val="22"/>
        <w:numPr>
          <w:ilvl w:val="0"/>
          <w:numId w:val="1"/>
        </w:numPr>
        <w:spacing w:line="560" w:lineRule="exact"/>
        <w:ind w:firstLineChars="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土壤、空气、水体和生物中实验室检测项目</w:t>
      </w:r>
    </w:p>
    <w:p w14:paraId="3DBFEAE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以《环境天然放射性水平调查规定》（19</w:t>
      </w:r>
      <w:r>
        <w:rPr>
          <w:rFonts w:ascii="仿宋_GB2312" w:hAnsi="仿宋_GB2312" w:eastAsia="仿宋_GB2312" w:cs="仿宋_GB2312"/>
          <w:sz w:val="28"/>
          <w:szCs w:val="28"/>
        </w:rPr>
        <w:t>86环放</w:t>
      </w:r>
      <w:r>
        <w:rPr>
          <w:rFonts w:hint="eastAsia" w:ascii="仿宋_GB2312" w:hAnsi="仿宋_GB2312" w:eastAsia="仿宋_GB2312" w:cs="仿宋_GB2312"/>
          <w:sz w:val="28"/>
          <w:szCs w:val="28"/>
        </w:rPr>
        <w:t>169号文）为基础，参考《电离辐射环境监测与评价》（国家环境保护总局辐射环境监测技术中心组织编写，潘自强主编，2007）书中9.5章节电离辐射环境监测方案中关于监测内容的规定，结合HJ</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61陆地辐射环境质量监测方案的要求和最近10年全国辐射环境质量报告中监测项目的选择，以及全国和宁夏放射性环境调查项目的多年实践经验（见表5-1），分别需要对土壤、空气、水体和生物样品进行采集检测分析，并对采样点布设位置及数量进行了规定。</w:t>
      </w:r>
    </w:p>
    <w:p w14:paraId="06A37557">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A</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土壤样品</w:t>
      </w:r>
    </w:p>
    <w:p w14:paraId="47D940C7">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w:t>
      </w:r>
      <w:r>
        <w:rPr>
          <w:rFonts w:hint="eastAsia" w:ascii="仿宋_GB2312" w:hAnsi="仿宋_GB2312" w:eastAsia="仿宋_GB2312" w:cs="仿宋_GB2312"/>
          <w:sz w:val="28"/>
          <w:szCs w:val="28"/>
        </w:rPr>
        <w:t>《环境天然放射性水平调查规定》（1986环放169号文）、HJ/T166《土壤环境监测技术规范》、HJ 61-2021《辐射环境监测技术规范》等资料，综合规定土壤样品布设位置及数量如下：</w:t>
      </w:r>
    </w:p>
    <w:p w14:paraId="7496F8A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壤现场调查采样点位置和数量与γ辐射空气吸收剂量率的调查点相同，局部区域点位可根据γ辐射空气吸收剂量率异常、放射性污染源等实际情况进行加密，避开无法采集的区域，调整并详细记录。根据调查区分布的土壤类型和成土母质，酌情在网格点之外适当增加布点。</w:t>
      </w:r>
    </w:p>
    <w:p w14:paraId="13F6216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（B）空气样品</w:t>
      </w:r>
    </w:p>
    <w:p w14:paraId="646B99FF">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空气样品包括</w:t>
      </w:r>
      <w:r>
        <w:rPr>
          <w:rFonts w:hint="eastAsia" w:ascii="仿宋_GB2312" w:hAnsi="仿宋_GB2312" w:eastAsia="仿宋_GB2312" w:cs="仿宋_GB2312"/>
          <w:sz w:val="28"/>
          <w:szCs w:val="28"/>
        </w:rPr>
        <w:t>气溶胶和干湿沉降物。鉴于气溶胶和干湿沉降物采集及分析的困难</w:t>
      </w:r>
      <w:r>
        <w:rPr>
          <w:rFonts w:ascii="仿宋_GB2312" w:hAnsi="仿宋_GB2312" w:eastAsia="仿宋_GB2312" w:cs="仿宋_GB2312"/>
          <w:sz w:val="28"/>
          <w:szCs w:val="28"/>
        </w:rPr>
        <w:t>程度以及宁夏相关测点的数量及分布情况（现有长期监测点5</w:t>
      </w:r>
      <w:r>
        <w:rPr>
          <w:rFonts w:hint="eastAsia" w:ascii="仿宋_GB2312" w:hAnsi="仿宋_GB2312" w:eastAsia="仿宋_GB2312" w:cs="仿宋_GB2312"/>
          <w:sz w:val="28"/>
          <w:szCs w:val="28"/>
        </w:rPr>
        <w:t>个，分布在5个地级市</w:t>
      </w:r>
      <w:r>
        <w:rPr>
          <w:rFonts w:ascii="仿宋_GB2312" w:hAnsi="仿宋_GB2312" w:eastAsia="仿宋_GB2312" w:cs="仿宋_GB2312"/>
          <w:sz w:val="28"/>
          <w:szCs w:val="28"/>
        </w:rPr>
        <w:t>），参考</w:t>
      </w:r>
      <w:r>
        <w:rPr>
          <w:rFonts w:hint="eastAsia" w:ascii="仿宋_GB2312" w:hAnsi="仿宋_GB2312" w:eastAsia="仿宋_GB2312" w:cs="仿宋_GB2312"/>
          <w:sz w:val="28"/>
          <w:szCs w:val="28"/>
        </w:rPr>
        <w:t>HJ 61-2021《辐射环境监测技术规范》，综合规定空气样品布设位置及数量如下：</w:t>
      </w:r>
    </w:p>
    <w:p w14:paraId="0EFFACF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空气样品采集主要包括气溶胶和沉降物。二者在调查区内适当位置设置至少1处采样点，通常情况下，同点开展取样。沉降物包含干沉降和湿沉降，干沉降即为空气中自然降落于地面上的尘埃，湿沉降物包括雨、雪、雹等降水，干、湿沉降物应分开采样和测量。</w:t>
      </w:r>
    </w:p>
    <w:p w14:paraId="019B7E1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（C）水体样品</w:t>
      </w:r>
    </w:p>
    <w:p w14:paraId="453FE8BB">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水体样品包括地表水、地下水、沉积物（底泥）</w:t>
      </w:r>
      <w:r>
        <w:rPr>
          <w:rFonts w:hint="eastAsia" w:ascii="仿宋_GB2312" w:hAnsi="仿宋_GB2312" w:eastAsia="仿宋_GB2312" w:cs="仿宋_GB2312"/>
          <w:sz w:val="28"/>
          <w:szCs w:val="28"/>
        </w:rPr>
        <w:t>。鉴于宁夏不靠近海洋，未分布核电站等核设施，但是分布有铀矿（铀矿化点）和伴生放射性矿开发利用单位，因此水体样品检测包括河川、湖泊、水库、泉、井、水源地、沉积物（底泥），以及铀矿及伴生放射性矿开发利用设施周边水体。</w:t>
      </w:r>
    </w:p>
    <w:p w14:paraId="3FD01B4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参考《环境天然放射性水平调查规定》（1986环放169号文）、HJ 61-2021《辐射环境监测技术规范》、</w:t>
      </w:r>
      <w:r>
        <w:rPr>
          <w:rFonts w:ascii="仿宋_GB2312" w:hAnsi="仿宋_GB2312" w:eastAsia="仿宋_GB2312" w:cs="仿宋_GB2312"/>
          <w:sz w:val="28"/>
          <w:szCs w:val="28"/>
        </w:rPr>
        <w:t>HJ 494-2009《</w:t>
      </w:r>
      <w:r>
        <w:rPr>
          <w:rFonts w:hint="eastAsia" w:ascii="仿宋_GB2312" w:hAnsi="仿宋_GB2312" w:eastAsia="仿宋_GB2312" w:cs="仿宋_GB2312"/>
          <w:sz w:val="28"/>
          <w:szCs w:val="28"/>
        </w:rPr>
        <w:t>水质 采样技术指导</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23726《</w:t>
      </w:r>
      <w:r>
        <w:rPr>
          <w:rFonts w:hint="eastAsia" w:ascii="仿宋_GB2312" w:hAnsi="仿宋_GB2312" w:eastAsia="仿宋_GB2312" w:cs="仿宋_GB2312"/>
          <w:sz w:val="28"/>
          <w:szCs w:val="28"/>
        </w:rPr>
        <w:t>铀矿冶辐射环境监测规定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以及《电离辐射环境监测与评价》（国家环境保护总局辐射环境监测技术中心组织编写，潘自强主编，2007）等资料，综合规定水体样品布设位置及数量如下：</w:t>
      </w:r>
    </w:p>
    <w:p w14:paraId="2DB2A9AA">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a.地表水</w:t>
      </w:r>
    </w:p>
    <w:p w14:paraId="36F96EEB">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调查区内分布的河川依据流经长度、干支流分布等情况合理设置取样断面，断面数至少1个；在有排放水和支流汇入处，则选在其汇合点的下游，使两者充分混合的地方设置1处取样断面；每个断面在平水期和枯水期分别取样。</w:t>
      </w:r>
    </w:p>
    <w:p w14:paraId="05CFA9E1">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调查区内在经济、旅游、生活上有重要意义的湖泊、池塘、水库等，在平水期和枯水期分别取样。</w:t>
      </w:r>
    </w:p>
    <w:p w14:paraId="0AB4E1C0">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调查区内饮用水源地、普通尾矿库、污水池等，根据规模、用（排）水量、对人员影响等因素综合考虑，选取其中重点水体作为调查点进行取样。</w:t>
      </w:r>
    </w:p>
    <w:p w14:paraId="73EA6D78">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b.地下水</w:t>
      </w:r>
    </w:p>
    <w:p w14:paraId="03769420">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地下水取样根据井、泉分布与特征合理设置调查点进行取样。</w:t>
      </w:r>
    </w:p>
    <w:p w14:paraId="771D4918">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c.沉积物</w:t>
      </w:r>
    </w:p>
    <w:p w14:paraId="28A1A580">
      <w:pPr>
        <w:pStyle w:val="29"/>
        <w:spacing w:line="560" w:lineRule="exact"/>
        <w:ind w:firstLine="56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沉积物（底泥）采样点位与河川、湖泊水样采样点位一致，如沉积物采样点有障碍物影响时，可适当偏移。沉积物采样数量与河川、湖泊的水样采集数量一致。</w:t>
      </w:r>
    </w:p>
    <w:p w14:paraId="7EBF85B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（D）生物样品</w:t>
      </w:r>
    </w:p>
    <w:p w14:paraId="5668359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参考HJ 61-2021《辐射环境监测技术规范》以及《电离辐射环境监测与评价》（国家环境保护总局辐射环境监测技术中心组织编写，潘自强主编，2007）等资料，由于宁夏不靠近海洋，生物样品选择陆生生物、陆地水生物和指示生物。</w:t>
      </w:r>
    </w:p>
    <w:p w14:paraId="1478AB1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陆生生物选择谷物、蔬菜、水果和牧草等植物。由于采集、保存、分析困难度较大，同时宁夏未分布有核设施，所以不选择家禽、畜、牛（羊）奶等动物和动物产出物。谷物、蔬菜、水果和牧草在收获期进行采集，种类和数量根据调查区实际情况确定。相较于HJ</w:t>
      </w:r>
      <w:r>
        <w:rPr>
          <w:rFonts w:ascii="仿宋_GB2312" w:hAnsi="仿宋_GB2312" w:eastAsia="仿宋_GB2312" w:cs="仿宋_GB2312"/>
          <w:sz w:val="28"/>
          <w:szCs w:val="28"/>
        </w:rPr>
        <w:t xml:space="preserve"> 61等资料的规定，新增了水果作为</w:t>
      </w:r>
      <w:r>
        <w:rPr>
          <w:rFonts w:hint="eastAsia" w:ascii="仿宋_GB2312" w:hAnsi="仿宋_GB2312" w:eastAsia="仿宋_GB2312" w:cs="仿宋_GB2312"/>
          <w:sz w:val="28"/>
          <w:szCs w:val="28"/>
        </w:rPr>
        <w:t>陆生生物调查检测目标，主要原因是宁夏居民膳食营养组成逐步在发生变化，水果在居民食品结构中的比例逐步在提高。</w:t>
      </w:r>
    </w:p>
    <w:p w14:paraId="7447AE5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陆地水生物选择调查区内居民摄入量较多且种群数量较大的食用鱼类，在捕捞季节在养殖区直接捕集，或从渔业公司购买确知其捕捞区的水生物，不能采集以饵料为主养殖的水产品。鉴于水生物样品的获取难度，不对样品种类和数量做具体要求。</w:t>
      </w:r>
    </w:p>
    <w:p w14:paraId="7CF974B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指示生物选择调查区内能够高度富集环境中放射性物质的生物，包括松叶、杉叶、艾蒿、苔藓、菌菇等。鉴于指示生物样品的获取难度，采集时间、种类和数量根据调查区实际情况确定。</w:t>
      </w:r>
    </w:p>
    <w:p w14:paraId="090044D0">
      <w:pPr>
        <w:spacing w:line="560" w:lineRule="exact"/>
        <w:ind w:firstLine="560" w:firstLineChars="200"/>
        <w:outlineLvl w:val="1"/>
        <w:rPr>
          <w:rFonts w:ascii="仿宋_GB2312" w:hAnsi="仿宋_GB2312" w:eastAsia="仿宋_GB2312" w:cs="仿宋_GB2312"/>
          <w:sz w:val="28"/>
          <w:szCs w:val="28"/>
        </w:rPr>
      </w:pPr>
      <w:bookmarkStart w:id="40" w:name="_Toc199516627"/>
      <w:bookmarkStart w:id="41" w:name="_Toc203050057"/>
      <w:r>
        <w:rPr>
          <w:rFonts w:hint="eastAsia" w:ascii="仿宋_GB2312" w:hAnsi="仿宋_GB2312" w:eastAsia="仿宋_GB2312" w:cs="仿宋_GB2312"/>
          <w:sz w:val="28"/>
          <w:szCs w:val="28"/>
        </w:rPr>
        <w:t>6.</w:t>
      </w:r>
      <w:bookmarkEnd w:id="40"/>
      <w:bookmarkEnd w:id="41"/>
      <w:r>
        <w:rPr>
          <w:rFonts w:hint="eastAsia"/>
        </w:rPr>
        <w:t xml:space="preserve"> </w:t>
      </w:r>
      <w:r>
        <w:rPr>
          <w:rFonts w:hint="eastAsia" w:ascii="仿宋_GB2312" w:hAnsi="仿宋_GB2312" w:eastAsia="仿宋_GB2312" w:cs="仿宋_GB2312"/>
          <w:sz w:val="28"/>
          <w:szCs w:val="28"/>
        </w:rPr>
        <w:t>检测及采样分析方法</w:t>
      </w:r>
    </w:p>
    <w:p w14:paraId="6A5CA46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综合确定调查项目之后，依据每个检测项目的执行标准，推荐开展测量及采样分析方法，见表5-</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。其中标准中有采样及预处理要求的，按照标准执行，其余按照HJ 61执行。沉积物、气溶胶等检测方法由于未出台具体标准，根据实践，参考使用水中标准。</w:t>
      </w:r>
    </w:p>
    <w:p w14:paraId="7F1C9A4C">
      <w:pPr>
        <w:pStyle w:val="29"/>
        <w:ind w:firstLine="0" w:firstLineChars="0"/>
        <w:jc w:val="center"/>
        <w:rPr>
          <w:rFonts w:ascii="仿宋_GB2312" w:eastAsia="仿宋_GB2312"/>
          <w:sz w:val="28"/>
          <w:szCs w:val="28"/>
        </w:rPr>
      </w:pPr>
      <w:r>
        <w:rPr>
          <w:rFonts w:hint="eastAsia" w:ascii="仿宋_GB2312" w:eastAsia="仿宋_GB2312"/>
          <w:sz w:val="28"/>
          <w:szCs w:val="28"/>
        </w:rPr>
        <w:t>表5-3  天然放射性环境调查检测和采样分析方法一览表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13"/>
        <w:gridCol w:w="1954"/>
        <w:gridCol w:w="3565"/>
      </w:tblGrid>
      <w:tr w14:paraId="30A1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Align w:val="center"/>
          </w:tcPr>
          <w:p w14:paraId="0758585D">
            <w:pPr>
              <w:pStyle w:val="29"/>
              <w:widowControl w:val="0"/>
              <w:spacing w:before="120" w:after="120"/>
              <w:ind w:firstLine="0" w:firstLineChars="0"/>
              <w:jc w:val="center"/>
              <w:rPr>
                <w:rFonts w:ascii="仿宋_GB2312" w:eastAsia="仿宋_GB2312"/>
                <w:szCs w:val="21"/>
              </w:rPr>
            </w:pPr>
            <w:r>
              <w:rPr>
                <w:rFonts w:hint="eastAsia" w:ascii="仿宋_GB2312" w:eastAsia="仿宋_GB2312"/>
                <w:szCs w:val="21"/>
              </w:rPr>
              <w:t>介质/对象</w:t>
            </w:r>
          </w:p>
        </w:tc>
        <w:tc>
          <w:tcPr>
            <w:tcW w:w="1166" w:type="pct"/>
            <w:vAlign w:val="center"/>
          </w:tcPr>
          <w:p w14:paraId="634299E9">
            <w:pPr>
              <w:pStyle w:val="29"/>
              <w:widowControl w:val="0"/>
              <w:ind w:firstLine="0" w:firstLineChars="0"/>
              <w:jc w:val="center"/>
              <w:rPr>
                <w:rFonts w:ascii="仿宋_GB2312" w:eastAsia="仿宋_GB2312"/>
                <w:szCs w:val="21"/>
              </w:rPr>
            </w:pPr>
            <w:r>
              <w:rPr>
                <w:rFonts w:hint="eastAsia" w:ascii="仿宋_GB2312" w:eastAsia="仿宋_GB2312"/>
                <w:szCs w:val="21"/>
              </w:rPr>
              <w:t>检测项目</w:t>
            </w:r>
          </w:p>
        </w:tc>
        <w:tc>
          <w:tcPr>
            <w:tcW w:w="1078" w:type="pct"/>
            <w:vAlign w:val="center"/>
          </w:tcPr>
          <w:p w14:paraId="0D176D58">
            <w:pPr>
              <w:pStyle w:val="29"/>
              <w:widowControl w:val="0"/>
              <w:ind w:firstLine="0" w:firstLineChars="0"/>
              <w:jc w:val="center"/>
              <w:rPr>
                <w:rFonts w:ascii="仿宋_GB2312" w:eastAsia="仿宋_GB2312"/>
                <w:szCs w:val="21"/>
              </w:rPr>
            </w:pPr>
            <w:r>
              <w:rPr>
                <w:rFonts w:hint="eastAsia" w:ascii="仿宋_GB2312" w:eastAsia="仿宋_GB2312"/>
                <w:szCs w:val="21"/>
              </w:rPr>
              <w:t>标准号</w:t>
            </w:r>
          </w:p>
        </w:tc>
        <w:tc>
          <w:tcPr>
            <w:tcW w:w="1967" w:type="pct"/>
            <w:vAlign w:val="center"/>
          </w:tcPr>
          <w:p w14:paraId="56CA7972">
            <w:pPr>
              <w:pStyle w:val="29"/>
              <w:widowControl w:val="0"/>
              <w:ind w:firstLine="0" w:firstLineChars="0"/>
              <w:jc w:val="center"/>
              <w:rPr>
                <w:rFonts w:ascii="仿宋_GB2312" w:eastAsia="仿宋_GB2312"/>
                <w:szCs w:val="21"/>
              </w:rPr>
            </w:pPr>
            <w:r>
              <w:rPr>
                <w:rFonts w:hint="eastAsia" w:ascii="仿宋_GB2312" w:eastAsia="仿宋_GB2312"/>
                <w:szCs w:val="21"/>
              </w:rPr>
              <w:t>标准名称</w:t>
            </w:r>
          </w:p>
        </w:tc>
      </w:tr>
      <w:tr w14:paraId="6EB1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Align w:val="center"/>
          </w:tcPr>
          <w:p w14:paraId="50BDE0C1">
            <w:pPr>
              <w:pStyle w:val="29"/>
              <w:widowControl w:val="0"/>
              <w:ind w:firstLine="0" w:firstLineChars="0"/>
              <w:jc w:val="center"/>
              <w:rPr>
                <w:rFonts w:ascii="仿宋_GB2312" w:eastAsia="仿宋_GB2312"/>
                <w:szCs w:val="21"/>
              </w:rPr>
            </w:pPr>
            <w:r>
              <w:rPr>
                <w:rFonts w:hint="eastAsia" w:ascii="仿宋_GB2312" w:eastAsia="仿宋_GB2312"/>
                <w:szCs w:val="21"/>
              </w:rPr>
              <w:t>陆地γ辐射</w:t>
            </w:r>
          </w:p>
        </w:tc>
        <w:tc>
          <w:tcPr>
            <w:tcW w:w="1166" w:type="pct"/>
            <w:vAlign w:val="center"/>
          </w:tcPr>
          <w:p w14:paraId="1F6431B8">
            <w:pPr>
              <w:pStyle w:val="29"/>
              <w:widowControl w:val="0"/>
              <w:ind w:firstLine="0" w:firstLineChars="0"/>
              <w:jc w:val="center"/>
              <w:rPr>
                <w:rFonts w:ascii="仿宋_GB2312" w:eastAsia="仿宋_GB2312"/>
                <w:szCs w:val="21"/>
              </w:rPr>
            </w:pPr>
            <w:r>
              <w:rPr>
                <w:rFonts w:hint="eastAsia" w:ascii="仿宋_GB2312" w:eastAsia="仿宋_GB2312"/>
                <w:szCs w:val="21"/>
              </w:rPr>
              <w:t>γ辐射空气吸收剂量率</w:t>
            </w:r>
          </w:p>
        </w:tc>
        <w:tc>
          <w:tcPr>
            <w:tcW w:w="1078" w:type="pct"/>
            <w:vAlign w:val="center"/>
          </w:tcPr>
          <w:p w14:paraId="61D41F02">
            <w:pPr>
              <w:pStyle w:val="29"/>
              <w:widowControl w:val="0"/>
              <w:ind w:firstLine="0" w:firstLineChars="0"/>
              <w:jc w:val="center"/>
              <w:rPr>
                <w:rFonts w:ascii="仿宋_GB2312" w:eastAsia="仿宋_GB2312"/>
                <w:szCs w:val="21"/>
              </w:rPr>
            </w:pPr>
            <w:r>
              <w:rPr>
                <w:rFonts w:hint="eastAsia" w:ascii="仿宋_GB2312" w:hAnsi="宋体" w:eastAsia="仿宋_GB2312" w:cs="宋体"/>
                <w:szCs w:val="21"/>
              </w:rPr>
              <w:t>HJ 1157</w:t>
            </w:r>
          </w:p>
        </w:tc>
        <w:tc>
          <w:tcPr>
            <w:tcW w:w="1967" w:type="pct"/>
            <w:vAlign w:val="center"/>
          </w:tcPr>
          <w:p w14:paraId="21B66E4A">
            <w:pPr>
              <w:pStyle w:val="29"/>
              <w:widowControl w:val="0"/>
              <w:ind w:firstLine="0" w:firstLineChars="0"/>
              <w:jc w:val="left"/>
              <w:rPr>
                <w:rFonts w:ascii="仿宋_GB2312" w:eastAsia="仿宋_GB2312"/>
                <w:szCs w:val="21"/>
              </w:rPr>
            </w:pPr>
            <w:r>
              <w:rPr>
                <w:rFonts w:hint="eastAsia" w:ascii="仿宋_GB2312" w:hAnsi="宋体" w:eastAsia="仿宋_GB2312" w:cs="宋体"/>
                <w:szCs w:val="21"/>
              </w:rPr>
              <w:t>环境γ辐射剂量率测量技术规范</w:t>
            </w:r>
          </w:p>
        </w:tc>
      </w:tr>
      <w:tr w14:paraId="5AD9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pct"/>
            <w:vMerge w:val="restart"/>
            <w:vAlign w:val="center"/>
          </w:tcPr>
          <w:p w14:paraId="35808BD6">
            <w:pPr>
              <w:pStyle w:val="29"/>
              <w:widowControl w:val="0"/>
              <w:ind w:firstLine="0" w:firstLineChars="0"/>
              <w:jc w:val="center"/>
              <w:rPr>
                <w:rFonts w:ascii="仿宋_GB2312" w:eastAsia="仿宋_GB2312"/>
                <w:szCs w:val="21"/>
              </w:rPr>
            </w:pPr>
            <w:r>
              <w:rPr>
                <w:rFonts w:hint="eastAsia" w:ascii="仿宋_GB2312" w:eastAsia="仿宋_GB2312"/>
                <w:szCs w:val="21"/>
              </w:rPr>
              <w:t>土壤</w:t>
            </w:r>
          </w:p>
        </w:tc>
        <w:tc>
          <w:tcPr>
            <w:tcW w:w="1166" w:type="pct"/>
            <w:vMerge w:val="restart"/>
            <w:vAlign w:val="center"/>
          </w:tcPr>
          <w:p w14:paraId="1F815035">
            <w:pPr>
              <w:pStyle w:val="29"/>
              <w:widowControl w:val="0"/>
              <w:ind w:firstLine="0" w:firstLineChars="0"/>
              <w:jc w:val="center"/>
              <w:rPr>
                <w:rFonts w:ascii="仿宋_GB2312" w:eastAsia="仿宋_GB2312"/>
                <w:szCs w:val="21"/>
              </w:rPr>
            </w:pPr>
            <w:r>
              <w:rPr>
                <w:rFonts w:hint="eastAsia" w:ascii="仿宋_GB2312" w:eastAsia="仿宋_GB2312"/>
                <w:szCs w:val="21"/>
              </w:rPr>
              <w:t>氡</w:t>
            </w:r>
          </w:p>
        </w:tc>
        <w:tc>
          <w:tcPr>
            <w:tcW w:w="1078" w:type="pct"/>
            <w:vAlign w:val="center"/>
          </w:tcPr>
          <w:p w14:paraId="3EEED553">
            <w:pPr>
              <w:pStyle w:val="29"/>
              <w:widowControl w:val="0"/>
              <w:ind w:firstLine="0" w:firstLineChars="0"/>
              <w:jc w:val="center"/>
              <w:rPr>
                <w:rFonts w:ascii="仿宋_GB2312" w:eastAsia="仿宋_GB2312"/>
                <w:szCs w:val="21"/>
              </w:rPr>
            </w:pPr>
            <w:r>
              <w:rPr>
                <w:rFonts w:hint="eastAsia" w:ascii="仿宋_GB2312" w:eastAsia="仿宋_GB2312"/>
                <w:szCs w:val="21"/>
              </w:rPr>
              <w:t>GB 50325</w:t>
            </w:r>
          </w:p>
        </w:tc>
        <w:tc>
          <w:tcPr>
            <w:tcW w:w="1967" w:type="pct"/>
            <w:vAlign w:val="center"/>
          </w:tcPr>
          <w:p w14:paraId="6B7AA359">
            <w:pPr>
              <w:pStyle w:val="29"/>
              <w:widowControl w:val="0"/>
              <w:ind w:firstLine="0" w:firstLineChars="0"/>
              <w:jc w:val="left"/>
              <w:rPr>
                <w:rFonts w:ascii="仿宋_GB2312" w:eastAsia="仿宋_GB2312"/>
                <w:szCs w:val="21"/>
              </w:rPr>
            </w:pPr>
            <w:r>
              <w:rPr>
                <w:rFonts w:hint="eastAsia" w:ascii="仿宋_GB2312" w:eastAsia="仿宋_GB2312"/>
                <w:szCs w:val="21"/>
              </w:rPr>
              <w:t>民用建筑工程室内环境污染控制标准</w:t>
            </w:r>
          </w:p>
        </w:tc>
      </w:tr>
      <w:tr w14:paraId="096D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pct"/>
            <w:vMerge w:val="continue"/>
            <w:vAlign w:val="center"/>
          </w:tcPr>
          <w:p w14:paraId="62D62374">
            <w:pPr>
              <w:pStyle w:val="29"/>
              <w:widowControl w:val="0"/>
              <w:ind w:firstLine="0" w:firstLineChars="0"/>
              <w:jc w:val="center"/>
              <w:rPr>
                <w:rFonts w:ascii="仿宋_GB2312" w:eastAsia="仿宋_GB2312"/>
                <w:szCs w:val="21"/>
              </w:rPr>
            </w:pPr>
          </w:p>
        </w:tc>
        <w:tc>
          <w:tcPr>
            <w:tcW w:w="1166" w:type="pct"/>
            <w:vMerge w:val="continue"/>
            <w:vAlign w:val="center"/>
          </w:tcPr>
          <w:p w14:paraId="4C1B0DE1">
            <w:pPr>
              <w:pStyle w:val="29"/>
              <w:widowControl w:val="0"/>
              <w:ind w:firstLine="0" w:firstLineChars="0"/>
              <w:jc w:val="center"/>
              <w:rPr>
                <w:rFonts w:ascii="仿宋_GB2312" w:eastAsia="仿宋_GB2312"/>
                <w:szCs w:val="21"/>
              </w:rPr>
            </w:pPr>
          </w:p>
        </w:tc>
        <w:tc>
          <w:tcPr>
            <w:tcW w:w="1078" w:type="pct"/>
            <w:vAlign w:val="center"/>
          </w:tcPr>
          <w:p w14:paraId="44F04A6D">
            <w:pPr>
              <w:pStyle w:val="29"/>
              <w:widowControl w:val="0"/>
              <w:ind w:firstLine="0" w:firstLineChars="0"/>
              <w:jc w:val="center"/>
              <w:rPr>
                <w:rFonts w:ascii="仿宋_GB2312" w:eastAsia="仿宋_GB2312"/>
                <w:szCs w:val="21"/>
              </w:rPr>
            </w:pPr>
            <w:r>
              <w:rPr>
                <w:rFonts w:hint="eastAsia" w:ascii="仿宋_GB2312" w:eastAsia="仿宋_GB2312"/>
                <w:szCs w:val="21"/>
              </w:rPr>
              <w:t>EJ/T 605</w:t>
            </w:r>
          </w:p>
        </w:tc>
        <w:tc>
          <w:tcPr>
            <w:tcW w:w="1967" w:type="pct"/>
            <w:vAlign w:val="center"/>
          </w:tcPr>
          <w:p w14:paraId="516421B2">
            <w:pPr>
              <w:pStyle w:val="29"/>
              <w:widowControl w:val="0"/>
              <w:ind w:firstLine="0" w:firstLineChars="0"/>
              <w:jc w:val="left"/>
              <w:rPr>
                <w:rFonts w:ascii="仿宋_GB2312" w:eastAsia="仿宋_GB2312"/>
                <w:szCs w:val="21"/>
              </w:rPr>
            </w:pPr>
            <w:r>
              <w:rPr>
                <w:rFonts w:hint="eastAsia" w:ascii="仿宋_GB2312" w:eastAsia="仿宋_GB2312"/>
                <w:szCs w:val="21"/>
              </w:rPr>
              <w:t>铀矿勘查氡及其子体测量规范</w:t>
            </w:r>
          </w:p>
        </w:tc>
      </w:tr>
      <w:tr w14:paraId="108A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4A85B016">
            <w:pPr>
              <w:pStyle w:val="29"/>
              <w:widowControl w:val="0"/>
              <w:ind w:firstLine="0" w:firstLineChars="0"/>
              <w:jc w:val="center"/>
              <w:rPr>
                <w:rFonts w:ascii="仿宋_GB2312" w:eastAsia="仿宋_GB2312"/>
                <w:szCs w:val="21"/>
              </w:rPr>
            </w:pPr>
          </w:p>
        </w:tc>
        <w:tc>
          <w:tcPr>
            <w:tcW w:w="1166" w:type="pct"/>
            <w:vMerge w:val="restart"/>
            <w:vAlign w:val="center"/>
          </w:tcPr>
          <w:p w14:paraId="05C10ECB">
            <w:pPr>
              <w:pStyle w:val="29"/>
              <w:widowControl w:val="0"/>
              <w:ind w:firstLine="0" w:firstLineChars="0"/>
              <w:jc w:val="center"/>
              <w:rPr>
                <w:rFonts w:ascii="仿宋_GB2312" w:eastAsia="仿宋_GB2312"/>
                <w:szCs w:val="21"/>
              </w:rPr>
            </w:pPr>
            <w:r>
              <w:rPr>
                <w:rFonts w:hint="eastAsia" w:ascii="仿宋_GB2312" w:eastAsia="仿宋_GB2312"/>
                <w:szCs w:val="21"/>
              </w:rPr>
              <w:t>γ核素</w:t>
            </w:r>
          </w:p>
        </w:tc>
        <w:tc>
          <w:tcPr>
            <w:tcW w:w="1078" w:type="pct"/>
            <w:vAlign w:val="center"/>
          </w:tcPr>
          <w:p w14:paraId="5A612A35">
            <w:pPr>
              <w:pStyle w:val="29"/>
              <w:widowControl w:val="0"/>
              <w:ind w:firstLine="0" w:firstLineChars="0"/>
              <w:jc w:val="center"/>
              <w:rPr>
                <w:rFonts w:ascii="仿宋_GB2312" w:eastAsia="仿宋_GB2312"/>
                <w:szCs w:val="21"/>
              </w:rPr>
            </w:pPr>
            <w:r>
              <w:rPr>
                <w:rFonts w:hint="eastAsia" w:ascii="仿宋_GB2312" w:eastAsia="仿宋_GB2312"/>
                <w:szCs w:val="21"/>
              </w:rPr>
              <w:t>GB/T 16145</w:t>
            </w:r>
          </w:p>
        </w:tc>
        <w:tc>
          <w:tcPr>
            <w:tcW w:w="1967" w:type="pct"/>
            <w:vAlign w:val="center"/>
          </w:tcPr>
          <w:p w14:paraId="5C9D1063">
            <w:pPr>
              <w:pStyle w:val="29"/>
              <w:widowControl w:val="0"/>
              <w:ind w:firstLine="0" w:firstLineChars="0"/>
              <w:jc w:val="left"/>
              <w:rPr>
                <w:rFonts w:ascii="仿宋_GB2312" w:eastAsia="仿宋_GB2312"/>
                <w:szCs w:val="21"/>
              </w:rPr>
            </w:pPr>
            <w:r>
              <w:rPr>
                <w:rFonts w:hint="eastAsia" w:ascii="仿宋_GB2312" w:eastAsia="仿宋_GB2312"/>
                <w:szCs w:val="21"/>
              </w:rPr>
              <w:t>环境及生物样品中放射性核素的γ能谱分析方法</w:t>
            </w:r>
          </w:p>
        </w:tc>
      </w:tr>
      <w:tr w14:paraId="66D5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30D0BFE8">
            <w:pPr>
              <w:pStyle w:val="29"/>
              <w:widowControl w:val="0"/>
              <w:ind w:firstLine="0" w:firstLineChars="0"/>
              <w:jc w:val="center"/>
              <w:rPr>
                <w:rFonts w:ascii="仿宋_GB2312" w:eastAsia="仿宋_GB2312"/>
                <w:szCs w:val="21"/>
              </w:rPr>
            </w:pPr>
          </w:p>
        </w:tc>
        <w:tc>
          <w:tcPr>
            <w:tcW w:w="1166" w:type="pct"/>
            <w:vMerge w:val="continue"/>
            <w:vAlign w:val="center"/>
          </w:tcPr>
          <w:p w14:paraId="535F05FD">
            <w:pPr>
              <w:pStyle w:val="29"/>
              <w:widowControl w:val="0"/>
              <w:ind w:firstLine="0" w:firstLineChars="0"/>
              <w:jc w:val="center"/>
              <w:rPr>
                <w:rFonts w:ascii="仿宋_GB2312" w:eastAsia="仿宋_GB2312"/>
                <w:szCs w:val="21"/>
              </w:rPr>
            </w:pPr>
          </w:p>
        </w:tc>
        <w:tc>
          <w:tcPr>
            <w:tcW w:w="1078" w:type="pct"/>
            <w:vAlign w:val="center"/>
          </w:tcPr>
          <w:p w14:paraId="7F75AB86">
            <w:pPr>
              <w:pStyle w:val="29"/>
              <w:widowControl w:val="0"/>
              <w:ind w:firstLine="0" w:firstLineChars="0"/>
              <w:jc w:val="center"/>
              <w:rPr>
                <w:rFonts w:ascii="仿宋_GB2312" w:eastAsia="仿宋_GB2312"/>
                <w:szCs w:val="21"/>
              </w:rPr>
            </w:pPr>
            <w:r>
              <w:rPr>
                <w:rFonts w:hint="eastAsia" w:ascii="仿宋_GB2312" w:eastAsia="仿宋_GB2312"/>
                <w:szCs w:val="21"/>
              </w:rPr>
              <w:t>GB/T 11713</w:t>
            </w:r>
          </w:p>
        </w:tc>
        <w:tc>
          <w:tcPr>
            <w:tcW w:w="1967" w:type="pct"/>
            <w:vAlign w:val="center"/>
          </w:tcPr>
          <w:p w14:paraId="6042341B">
            <w:pPr>
              <w:pStyle w:val="29"/>
              <w:widowControl w:val="0"/>
              <w:ind w:firstLine="0" w:firstLineChars="0"/>
              <w:jc w:val="left"/>
              <w:rPr>
                <w:rFonts w:ascii="仿宋_GB2312" w:eastAsia="仿宋_GB2312"/>
                <w:szCs w:val="21"/>
              </w:rPr>
            </w:pPr>
            <w:r>
              <w:rPr>
                <w:rFonts w:hint="eastAsia" w:ascii="仿宋_GB2312" w:eastAsia="仿宋_GB2312"/>
                <w:szCs w:val="21"/>
              </w:rPr>
              <w:t>高纯锗γ能谱分析通用方法</w:t>
            </w:r>
          </w:p>
        </w:tc>
      </w:tr>
      <w:tr w14:paraId="6AE6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restart"/>
            <w:vAlign w:val="center"/>
          </w:tcPr>
          <w:p w14:paraId="349420BC">
            <w:pPr>
              <w:pStyle w:val="29"/>
              <w:widowControl w:val="0"/>
              <w:ind w:firstLine="0" w:firstLineChars="0"/>
              <w:jc w:val="center"/>
              <w:rPr>
                <w:rFonts w:ascii="仿宋_GB2312" w:eastAsia="仿宋_GB2312"/>
                <w:szCs w:val="21"/>
              </w:rPr>
            </w:pPr>
            <w:r>
              <w:rPr>
                <w:rFonts w:hint="eastAsia" w:ascii="仿宋_GB2312" w:eastAsia="仿宋_GB2312"/>
                <w:szCs w:val="21"/>
              </w:rPr>
              <w:t>空气</w:t>
            </w:r>
          </w:p>
        </w:tc>
        <w:tc>
          <w:tcPr>
            <w:tcW w:w="1166" w:type="pct"/>
            <w:vAlign w:val="center"/>
          </w:tcPr>
          <w:p w14:paraId="31B89368">
            <w:pPr>
              <w:pStyle w:val="29"/>
              <w:widowControl w:val="0"/>
              <w:ind w:firstLine="0" w:firstLineChars="0"/>
              <w:jc w:val="center"/>
              <w:rPr>
                <w:rFonts w:ascii="仿宋_GB2312" w:eastAsia="仿宋_GB2312"/>
                <w:szCs w:val="21"/>
              </w:rPr>
            </w:pPr>
            <w:r>
              <w:rPr>
                <w:rFonts w:hint="eastAsia" w:ascii="仿宋_GB2312" w:eastAsia="仿宋_GB2312"/>
                <w:szCs w:val="21"/>
              </w:rPr>
              <w:t>氡</w:t>
            </w:r>
          </w:p>
        </w:tc>
        <w:tc>
          <w:tcPr>
            <w:tcW w:w="1078" w:type="pct"/>
            <w:vAlign w:val="center"/>
          </w:tcPr>
          <w:p w14:paraId="10FBBEB9">
            <w:pPr>
              <w:pStyle w:val="29"/>
              <w:widowControl w:val="0"/>
              <w:ind w:firstLine="0" w:firstLineChars="0"/>
              <w:jc w:val="center"/>
              <w:rPr>
                <w:rFonts w:ascii="仿宋_GB2312" w:eastAsia="仿宋_GB2312"/>
                <w:szCs w:val="21"/>
              </w:rPr>
            </w:pPr>
            <w:r>
              <w:rPr>
                <w:rFonts w:hint="eastAsia" w:ascii="仿宋_GB2312" w:eastAsia="仿宋_GB2312"/>
                <w:szCs w:val="21"/>
              </w:rPr>
              <w:t>HJ 1212</w:t>
            </w:r>
          </w:p>
        </w:tc>
        <w:tc>
          <w:tcPr>
            <w:tcW w:w="1967" w:type="pct"/>
            <w:vAlign w:val="center"/>
          </w:tcPr>
          <w:p w14:paraId="24D06CB1">
            <w:pPr>
              <w:pStyle w:val="29"/>
              <w:widowControl w:val="0"/>
              <w:ind w:firstLine="0" w:firstLineChars="0"/>
              <w:jc w:val="left"/>
              <w:rPr>
                <w:rFonts w:ascii="仿宋_GB2312" w:eastAsia="仿宋_GB2312"/>
                <w:szCs w:val="21"/>
              </w:rPr>
            </w:pPr>
            <w:r>
              <w:rPr>
                <w:rFonts w:hint="eastAsia" w:ascii="仿宋_GB2312" w:eastAsia="仿宋_GB2312"/>
                <w:szCs w:val="21"/>
              </w:rPr>
              <w:t>环境空气中氡的测量方法</w:t>
            </w:r>
          </w:p>
        </w:tc>
      </w:tr>
      <w:tr w14:paraId="3717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27B9B406">
            <w:pPr>
              <w:pStyle w:val="29"/>
              <w:widowControl w:val="0"/>
              <w:ind w:firstLine="0" w:firstLineChars="0"/>
              <w:jc w:val="center"/>
              <w:rPr>
                <w:rFonts w:ascii="仿宋_GB2312" w:eastAsia="仿宋_GB2312"/>
                <w:szCs w:val="21"/>
              </w:rPr>
            </w:pPr>
          </w:p>
        </w:tc>
        <w:tc>
          <w:tcPr>
            <w:tcW w:w="1166" w:type="pct"/>
            <w:vMerge w:val="restart"/>
            <w:vAlign w:val="center"/>
          </w:tcPr>
          <w:p w14:paraId="1A3C20E0">
            <w:pPr>
              <w:pStyle w:val="29"/>
              <w:widowControl w:val="0"/>
              <w:ind w:firstLine="0" w:firstLineChars="0"/>
              <w:jc w:val="center"/>
              <w:rPr>
                <w:rFonts w:ascii="仿宋_GB2312" w:eastAsia="仿宋_GB2312"/>
                <w:szCs w:val="21"/>
              </w:rPr>
            </w:pPr>
            <w:r>
              <w:rPr>
                <w:rFonts w:hint="eastAsia" w:ascii="仿宋_GB2312" w:eastAsia="仿宋_GB2312"/>
                <w:szCs w:val="21"/>
              </w:rPr>
              <w:t>沉降物总α、总β</w:t>
            </w:r>
          </w:p>
        </w:tc>
        <w:tc>
          <w:tcPr>
            <w:tcW w:w="1078" w:type="pct"/>
            <w:vAlign w:val="center"/>
          </w:tcPr>
          <w:p w14:paraId="0FC5EAEC">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1075</w:t>
            </w:r>
          </w:p>
        </w:tc>
        <w:tc>
          <w:tcPr>
            <w:tcW w:w="1967" w:type="pct"/>
            <w:vAlign w:val="center"/>
          </w:tcPr>
          <w:p w14:paraId="36D22665">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水中总α放射性浓度的测定 厚源法 (参考)</w:t>
            </w:r>
          </w:p>
        </w:tc>
      </w:tr>
      <w:tr w14:paraId="4DC0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22A86449">
            <w:pPr>
              <w:pStyle w:val="29"/>
              <w:widowControl w:val="0"/>
              <w:ind w:firstLine="0" w:firstLineChars="0"/>
              <w:jc w:val="center"/>
              <w:rPr>
                <w:rFonts w:ascii="仿宋_GB2312" w:eastAsia="仿宋_GB2312"/>
                <w:szCs w:val="21"/>
              </w:rPr>
            </w:pPr>
          </w:p>
        </w:tc>
        <w:tc>
          <w:tcPr>
            <w:tcW w:w="1166" w:type="pct"/>
            <w:vMerge w:val="continue"/>
            <w:vAlign w:val="center"/>
          </w:tcPr>
          <w:p w14:paraId="311BFF90">
            <w:pPr>
              <w:pStyle w:val="29"/>
              <w:widowControl w:val="0"/>
              <w:ind w:firstLine="0" w:firstLineChars="0"/>
              <w:jc w:val="center"/>
              <w:rPr>
                <w:rFonts w:ascii="仿宋_GB2312" w:eastAsia="仿宋_GB2312"/>
                <w:szCs w:val="21"/>
              </w:rPr>
            </w:pPr>
          </w:p>
        </w:tc>
        <w:tc>
          <w:tcPr>
            <w:tcW w:w="1078" w:type="pct"/>
            <w:vAlign w:val="center"/>
          </w:tcPr>
          <w:p w14:paraId="1A281640">
            <w:pPr>
              <w:pStyle w:val="29"/>
              <w:widowControl w:val="0"/>
              <w:ind w:firstLine="0" w:firstLineChars="0"/>
              <w:jc w:val="center"/>
              <w:rPr>
                <w:rFonts w:ascii="仿宋_GB2312" w:eastAsia="仿宋_GB2312"/>
                <w:szCs w:val="21"/>
              </w:rPr>
            </w:pPr>
            <w:r>
              <w:rPr>
                <w:rFonts w:hint="eastAsia" w:ascii="仿宋_GB2312" w:eastAsia="仿宋_GB2312"/>
                <w:szCs w:val="21"/>
              </w:rPr>
              <w:t>HJ 898</w:t>
            </w:r>
          </w:p>
        </w:tc>
        <w:tc>
          <w:tcPr>
            <w:tcW w:w="1967" w:type="pct"/>
            <w:vAlign w:val="center"/>
          </w:tcPr>
          <w:p w14:paraId="0EEA4E0D">
            <w:pPr>
              <w:pStyle w:val="29"/>
              <w:widowControl w:val="0"/>
              <w:ind w:firstLine="0" w:firstLineChars="0"/>
              <w:jc w:val="left"/>
              <w:rPr>
                <w:rFonts w:ascii="仿宋_GB2312" w:eastAsia="仿宋_GB2312"/>
                <w:szCs w:val="21"/>
              </w:rPr>
            </w:pPr>
            <w:r>
              <w:rPr>
                <w:rFonts w:hint="eastAsia" w:ascii="仿宋_GB2312" w:eastAsia="仿宋_GB2312"/>
                <w:szCs w:val="21"/>
              </w:rPr>
              <w:t>水质 总α放射性的测定 厚源法（参考）</w:t>
            </w:r>
          </w:p>
        </w:tc>
      </w:tr>
      <w:tr w14:paraId="0D7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7DC65726">
            <w:pPr>
              <w:pStyle w:val="29"/>
              <w:widowControl w:val="0"/>
              <w:ind w:firstLine="0" w:firstLineChars="0"/>
              <w:jc w:val="center"/>
              <w:rPr>
                <w:rFonts w:ascii="仿宋_GB2312" w:eastAsia="仿宋_GB2312"/>
                <w:szCs w:val="21"/>
              </w:rPr>
            </w:pPr>
          </w:p>
        </w:tc>
        <w:tc>
          <w:tcPr>
            <w:tcW w:w="1166" w:type="pct"/>
            <w:vMerge w:val="continue"/>
            <w:vAlign w:val="center"/>
          </w:tcPr>
          <w:p w14:paraId="3D0A35A1">
            <w:pPr>
              <w:pStyle w:val="29"/>
              <w:widowControl w:val="0"/>
              <w:ind w:firstLine="0" w:firstLineChars="0"/>
              <w:jc w:val="center"/>
              <w:rPr>
                <w:rFonts w:ascii="仿宋_GB2312" w:eastAsia="仿宋_GB2312"/>
                <w:szCs w:val="21"/>
              </w:rPr>
            </w:pPr>
          </w:p>
        </w:tc>
        <w:tc>
          <w:tcPr>
            <w:tcW w:w="1078" w:type="pct"/>
            <w:vAlign w:val="center"/>
          </w:tcPr>
          <w:p w14:paraId="4BB83FD3">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900</w:t>
            </w:r>
          </w:p>
        </w:tc>
        <w:tc>
          <w:tcPr>
            <w:tcW w:w="1967" w:type="pct"/>
            <w:vAlign w:val="center"/>
          </w:tcPr>
          <w:p w14:paraId="76754F6D">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水中总β放射性测定 蒸发法(参考)</w:t>
            </w:r>
          </w:p>
        </w:tc>
      </w:tr>
      <w:tr w14:paraId="26A9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5B3ED07B">
            <w:pPr>
              <w:pStyle w:val="29"/>
              <w:widowControl w:val="0"/>
              <w:ind w:firstLine="0" w:firstLineChars="0"/>
              <w:jc w:val="center"/>
              <w:rPr>
                <w:rFonts w:ascii="仿宋_GB2312" w:eastAsia="仿宋_GB2312"/>
                <w:szCs w:val="21"/>
              </w:rPr>
            </w:pPr>
          </w:p>
        </w:tc>
        <w:tc>
          <w:tcPr>
            <w:tcW w:w="1166" w:type="pct"/>
            <w:vMerge w:val="continue"/>
            <w:vAlign w:val="center"/>
          </w:tcPr>
          <w:p w14:paraId="13D0E44A">
            <w:pPr>
              <w:pStyle w:val="29"/>
              <w:widowControl w:val="0"/>
              <w:ind w:firstLine="0" w:firstLineChars="0"/>
              <w:jc w:val="center"/>
              <w:rPr>
                <w:rFonts w:ascii="仿宋_GB2312" w:eastAsia="仿宋_GB2312"/>
                <w:szCs w:val="21"/>
              </w:rPr>
            </w:pPr>
          </w:p>
        </w:tc>
        <w:tc>
          <w:tcPr>
            <w:tcW w:w="1078" w:type="pct"/>
            <w:vAlign w:val="center"/>
          </w:tcPr>
          <w:p w14:paraId="4FD2AA0C">
            <w:pPr>
              <w:pStyle w:val="29"/>
              <w:widowControl w:val="0"/>
              <w:ind w:firstLine="0" w:firstLineChars="0"/>
              <w:jc w:val="center"/>
              <w:rPr>
                <w:rFonts w:ascii="仿宋_GB2312" w:eastAsia="仿宋_GB2312"/>
                <w:szCs w:val="21"/>
              </w:rPr>
            </w:pPr>
            <w:r>
              <w:rPr>
                <w:rFonts w:hint="eastAsia" w:ascii="仿宋_GB2312" w:eastAsia="仿宋_GB2312"/>
                <w:szCs w:val="21"/>
              </w:rPr>
              <w:t>HJ 899</w:t>
            </w:r>
          </w:p>
        </w:tc>
        <w:tc>
          <w:tcPr>
            <w:tcW w:w="1967" w:type="pct"/>
            <w:vAlign w:val="center"/>
          </w:tcPr>
          <w:p w14:paraId="5FD26CEB">
            <w:pPr>
              <w:pStyle w:val="29"/>
              <w:widowControl w:val="0"/>
              <w:ind w:firstLine="0" w:firstLineChars="0"/>
              <w:jc w:val="left"/>
              <w:rPr>
                <w:rFonts w:ascii="仿宋_GB2312" w:eastAsia="仿宋_GB2312"/>
                <w:szCs w:val="21"/>
              </w:rPr>
            </w:pPr>
            <w:r>
              <w:rPr>
                <w:rFonts w:hint="eastAsia" w:ascii="仿宋_GB2312" w:eastAsia="仿宋_GB2312"/>
                <w:szCs w:val="21"/>
              </w:rPr>
              <w:t>水质 总β放射性的测定 厚源法（参考）</w:t>
            </w:r>
          </w:p>
        </w:tc>
      </w:tr>
      <w:tr w14:paraId="0CA2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49571307">
            <w:pPr>
              <w:pStyle w:val="29"/>
              <w:widowControl w:val="0"/>
              <w:ind w:firstLine="0" w:firstLineChars="0"/>
              <w:jc w:val="center"/>
              <w:rPr>
                <w:rFonts w:ascii="仿宋_GB2312" w:eastAsia="仿宋_GB2312"/>
                <w:szCs w:val="21"/>
              </w:rPr>
            </w:pPr>
          </w:p>
        </w:tc>
        <w:tc>
          <w:tcPr>
            <w:tcW w:w="1166" w:type="pct"/>
            <w:vMerge w:val="restart"/>
            <w:vAlign w:val="center"/>
          </w:tcPr>
          <w:p w14:paraId="2C81D95F">
            <w:pPr>
              <w:pStyle w:val="29"/>
              <w:widowControl w:val="0"/>
              <w:ind w:firstLine="0" w:firstLineChars="0"/>
              <w:jc w:val="center"/>
              <w:rPr>
                <w:rFonts w:ascii="仿宋_GB2312" w:eastAsia="仿宋_GB2312"/>
                <w:szCs w:val="21"/>
              </w:rPr>
            </w:pPr>
            <w:r>
              <w:rPr>
                <w:rFonts w:hint="eastAsia" w:ascii="仿宋_GB2312" w:eastAsia="仿宋_GB2312"/>
                <w:szCs w:val="21"/>
              </w:rPr>
              <w:t>气溶胶总α、总β</w:t>
            </w:r>
          </w:p>
        </w:tc>
        <w:tc>
          <w:tcPr>
            <w:tcW w:w="1078" w:type="pct"/>
            <w:vAlign w:val="center"/>
          </w:tcPr>
          <w:p w14:paraId="0C7CE596">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1075</w:t>
            </w:r>
          </w:p>
        </w:tc>
        <w:tc>
          <w:tcPr>
            <w:tcW w:w="1967" w:type="pct"/>
            <w:vAlign w:val="center"/>
          </w:tcPr>
          <w:p w14:paraId="2E805754">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水中总α放射性浓度的测定 厚源法 (参考)</w:t>
            </w:r>
          </w:p>
        </w:tc>
      </w:tr>
      <w:tr w14:paraId="7019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61B604BE">
            <w:pPr>
              <w:pStyle w:val="29"/>
              <w:widowControl w:val="0"/>
              <w:ind w:firstLine="0" w:firstLineChars="0"/>
              <w:jc w:val="center"/>
              <w:rPr>
                <w:rFonts w:ascii="仿宋_GB2312" w:eastAsia="仿宋_GB2312"/>
                <w:szCs w:val="21"/>
              </w:rPr>
            </w:pPr>
          </w:p>
        </w:tc>
        <w:tc>
          <w:tcPr>
            <w:tcW w:w="1166" w:type="pct"/>
            <w:vMerge w:val="continue"/>
            <w:vAlign w:val="center"/>
          </w:tcPr>
          <w:p w14:paraId="1EE0E1C4">
            <w:pPr>
              <w:pStyle w:val="29"/>
              <w:widowControl w:val="0"/>
              <w:ind w:firstLine="0" w:firstLineChars="0"/>
              <w:jc w:val="center"/>
              <w:rPr>
                <w:rFonts w:ascii="仿宋_GB2312" w:eastAsia="仿宋_GB2312"/>
                <w:szCs w:val="21"/>
              </w:rPr>
            </w:pPr>
          </w:p>
        </w:tc>
        <w:tc>
          <w:tcPr>
            <w:tcW w:w="1078" w:type="pct"/>
            <w:vAlign w:val="center"/>
          </w:tcPr>
          <w:p w14:paraId="3441CF88">
            <w:pPr>
              <w:pStyle w:val="29"/>
              <w:widowControl w:val="0"/>
              <w:ind w:firstLine="0" w:firstLineChars="0"/>
              <w:jc w:val="center"/>
              <w:rPr>
                <w:rFonts w:ascii="仿宋_GB2312" w:eastAsia="仿宋_GB2312"/>
                <w:szCs w:val="21"/>
              </w:rPr>
            </w:pPr>
            <w:r>
              <w:rPr>
                <w:rFonts w:hint="eastAsia" w:ascii="仿宋_GB2312" w:eastAsia="仿宋_GB2312"/>
                <w:szCs w:val="21"/>
              </w:rPr>
              <w:t>HJ 898</w:t>
            </w:r>
          </w:p>
        </w:tc>
        <w:tc>
          <w:tcPr>
            <w:tcW w:w="1967" w:type="pct"/>
            <w:vAlign w:val="center"/>
          </w:tcPr>
          <w:p w14:paraId="5BC35824">
            <w:pPr>
              <w:pStyle w:val="29"/>
              <w:widowControl w:val="0"/>
              <w:ind w:firstLine="0" w:firstLineChars="0"/>
              <w:jc w:val="left"/>
              <w:rPr>
                <w:rFonts w:ascii="仿宋_GB2312" w:eastAsia="仿宋_GB2312"/>
                <w:szCs w:val="21"/>
              </w:rPr>
            </w:pPr>
            <w:r>
              <w:rPr>
                <w:rFonts w:hint="eastAsia" w:ascii="仿宋_GB2312" w:eastAsia="仿宋_GB2312"/>
                <w:szCs w:val="21"/>
              </w:rPr>
              <w:t>水质 总α放射性的测定 厚源法（参考）</w:t>
            </w:r>
          </w:p>
        </w:tc>
      </w:tr>
      <w:tr w14:paraId="17E6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13879999">
            <w:pPr>
              <w:pStyle w:val="29"/>
              <w:widowControl w:val="0"/>
              <w:ind w:firstLine="0" w:firstLineChars="0"/>
              <w:jc w:val="center"/>
              <w:rPr>
                <w:rFonts w:ascii="仿宋_GB2312" w:eastAsia="仿宋_GB2312"/>
                <w:szCs w:val="21"/>
              </w:rPr>
            </w:pPr>
          </w:p>
        </w:tc>
        <w:tc>
          <w:tcPr>
            <w:tcW w:w="1166" w:type="pct"/>
            <w:vMerge w:val="continue"/>
            <w:vAlign w:val="center"/>
          </w:tcPr>
          <w:p w14:paraId="541C2F2A">
            <w:pPr>
              <w:pStyle w:val="29"/>
              <w:widowControl w:val="0"/>
              <w:ind w:firstLine="0" w:firstLineChars="0"/>
              <w:jc w:val="center"/>
              <w:rPr>
                <w:rFonts w:ascii="仿宋_GB2312" w:eastAsia="仿宋_GB2312"/>
                <w:szCs w:val="21"/>
              </w:rPr>
            </w:pPr>
          </w:p>
        </w:tc>
        <w:tc>
          <w:tcPr>
            <w:tcW w:w="1078" w:type="pct"/>
            <w:vAlign w:val="center"/>
          </w:tcPr>
          <w:p w14:paraId="584A3B05">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900</w:t>
            </w:r>
          </w:p>
        </w:tc>
        <w:tc>
          <w:tcPr>
            <w:tcW w:w="1967" w:type="pct"/>
            <w:vAlign w:val="center"/>
          </w:tcPr>
          <w:p w14:paraId="32C703B6">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水中总β放射性测定 蒸发法(参考)</w:t>
            </w:r>
          </w:p>
        </w:tc>
      </w:tr>
      <w:tr w14:paraId="58C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vAlign w:val="center"/>
          </w:tcPr>
          <w:p w14:paraId="74AF13FE">
            <w:pPr>
              <w:pStyle w:val="29"/>
              <w:widowControl w:val="0"/>
              <w:ind w:firstLine="0" w:firstLineChars="0"/>
              <w:jc w:val="center"/>
              <w:rPr>
                <w:rFonts w:ascii="仿宋_GB2312" w:eastAsia="仿宋_GB2312"/>
                <w:szCs w:val="21"/>
              </w:rPr>
            </w:pPr>
          </w:p>
        </w:tc>
        <w:tc>
          <w:tcPr>
            <w:tcW w:w="1166" w:type="pct"/>
            <w:vMerge w:val="continue"/>
            <w:vAlign w:val="center"/>
          </w:tcPr>
          <w:p w14:paraId="7B9EF97F">
            <w:pPr>
              <w:pStyle w:val="29"/>
              <w:widowControl w:val="0"/>
              <w:ind w:firstLine="0" w:firstLineChars="0"/>
              <w:jc w:val="center"/>
              <w:rPr>
                <w:rFonts w:ascii="仿宋_GB2312" w:eastAsia="仿宋_GB2312"/>
                <w:szCs w:val="21"/>
              </w:rPr>
            </w:pPr>
          </w:p>
        </w:tc>
        <w:tc>
          <w:tcPr>
            <w:tcW w:w="1078" w:type="pct"/>
            <w:vAlign w:val="center"/>
          </w:tcPr>
          <w:p w14:paraId="1CD671A7">
            <w:pPr>
              <w:pStyle w:val="29"/>
              <w:widowControl w:val="0"/>
              <w:ind w:firstLine="0" w:firstLineChars="0"/>
              <w:jc w:val="center"/>
              <w:rPr>
                <w:rFonts w:ascii="仿宋_GB2312" w:eastAsia="仿宋_GB2312"/>
                <w:szCs w:val="21"/>
              </w:rPr>
            </w:pPr>
            <w:r>
              <w:rPr>
                <w:rFonts w:hint="eastAsia" w:ascii="仿宋_GB2312" w:eastAsia="仿宋_GB2312"/>
                <w:szCs w:val="21"/>
              </w:rPr>
              <w:t>HJ 899</w:t>
            </w:r>
          </w:p>
        </w:tc>
        <w:tc>
          <w:tcPr>
            <w:tcW w:w="1967" w:type="pct"/>
            <w:vAlign w:val="center"/>
          </w:tcPr>
          <w:p w14:paraId="69D2D886">
            <w:pPr>
              <w:pStyle w:val="29"/>
              <w:widowControl w:val="0"/>
              <w:ind w:firstLine="0" w:firstLineChars="0"/>
              <w:jc w:val="left"/>
              <w:rPr>
                <w:rFonts w:ascii="仿宋_GB2312" w:eastAsia="仿宋_GB2312"/>
                <w:szCs w:val="21"/>
              </w:rPr>
            </w:pPr>
            <w:r>
              <w:rPr>
                <w:rFonts w:hint="eastAsia" w:ascii="仿宋_GB2312" w:eastAsia="仿宋_GB2312"/>
                <w:szCs w:val="21"/>
              </w:rPr>
              <w:t>水质 总β放射性的测定 厚源法（参考）</w:t>
            </w:r>
          </w:p>
        </w:tc>
      </w:tr>
      <w:tr w14:paraId="404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46C4308F">
            <w:pPr>
              <w:pStyle w:val="29"/>
              <w:widowControl w:val="0"/>
              <w:ind w:firstLine="0" w:firstLineChars="0"/>
              <w:jc w:val="center"/>
              <w:rPr>
                <w:rFonts w:ascii="仿宋_GB2312" w:eastAsia="仿宋_GB2312"/>
                <w:szCs w:val="21"/>
              </w:rPr>
            </w:pPr>
          </w:p>
        </w:tc>
        <w:tc>
          <w:tcPr>
            <w:tcW w:w="1166" w:type="pct"/>
            <w:shd w:val="clear" w:color="auto" w:fill="auto"/>
            <w:vAlign w:val="center"/>
          </w:tcPr>
          <w:p w14:paraId="6F87B65D">
            <w:pPr>
              <w:pStyle w:val="29"/>
              <w:widowControl w:val="0"/>
              <w:ind w:firstLine="0" w:firstLineChars="0"/>
              <w:jc w:val="center"/>
              <w:rPr>
                <w:rFonts w:ascii="仿宋_GB2312" w:eastAsia="仿宋_GB2312"/>
                <w:szCs w:val="21"/>
              </w:rPr>
            </w:pPr>
            <w:r>
              <w:rPr>
                <w:rFonts w:hint="eastAsia" w:ascii="仿宋_GB2312" w:eastAsia="仿宋_GB2312"/>
                <w:szCs w:val="21"/>
              </w:rPr>
              <w:t>沉降物γ核素</w:t>
            </w:r>
          </w:p>
        </w:tc>
        <w:tc>
          <w:tcPr>
            <w:tcW w:w="1078" w:type="pct"/>
            <w:vAlign w:val="center"/>
          </w:tcPr>
          <w:p w14:paraId="446BF483">
            <w:pPr>
              <w:pStyle w:val="29"/>
              <w:widowControl w:val="0"/>
              <w:ind w:firstLine="0" w:firstLineChars="0"/>
              <w:jc w:val="center"/>
              <w:rPr>
                <w:rFonts w:ascii="仿宋_GB2312" w:eastAsia="仿宋_GB2312"/>
                <w:szCs w:val="21"/>
              </w:rPr>
            </w:pPr>
            <w:r>
              <w:rPr>
                <w:rFonts w:hint="eastAsia" w:ascii="仿宋_GB2312" w:eastAsia="仿宋_GB2312"/>
                <w:szCs w:val="21"/>
              </w:rPr>
              <w:t>GB/T 11713</w:t>
            </w:r>
          </w:p>
        </w:tc>
        <w:tc>
          <w:tcPr>
            <w:tcW w:w="1967" w:type="pct"/>
            <w:vAlign w:val="center"/>
          </w:tcPr>
          <w:p w14:paraId="7C9020A0">
            <w:pPr>
              <w:pStyle w:val="29"/>
              <w:widowControl w:val="0"/>
              <w:ind w:firstLine="0" w:firstLineChars="0"/>
              <w:jc w:val="left"/>
              <w:rPr>
                <w:rFonts w:ascii="仿宋_GB2312" w:eastAsia="仿宋_GB2312"/>
                <w:szCs w:val="21"/>
              </w:rPr>
            </w:pPr>
            <w:r>
              <w:rPr>
                <w:rFonts w:hint="eastAsia" w:ascii="仿宋_GB2312" w:eastAsia="仿宋_GB2312"/>
                <w:szCs w:val="21"/>
              </w:rPr>
              <w:t>高纯锗γ能谱分析通用方法</w:t>
            </w:r>
          </w:p>
        </w:tc>
      </w:tr>
      <w:tr w14:paraId="2A23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07AA0EA5">
            <w:pPr>
              <w:pStyle w:val="29"/>
              <w:widowControl w:val="0"/>
              <w:ind w:firstLine="0" w:firstLineChars="0"/>
              <w:jc w:val="center"/>
              <w:rPr>
                <w:rFonts w:ascii="仿宋_GB2312" w:eastAsia="仿宋_GB2312"/>
                <w:szCs w:val="21"/>
              </w:rPr>
            </w:pPr>
          </w:p>
        </w:tc>
        <w:tc>
          <w:tcPr>
            <w:tcW w:w="1166" w:type="pct"/>
            <w:vMerge w:val="restart"/>
            <w:shd w:val="clear" w:color="auto" w:fill="auto"/>
            <w:vAlign w:val="center"/>
          </w:tcPr>
          <w:p w14:paraId="22008BBD">
            <w:pPr>
              <w:pStyle w:val="29"/>
              <w:widowControl w:val="0"/>
              <w:ind w:firstLine="420"/>
              <w:jc w:val="center"/>
              <w:rPr>
                <w:rFonts w:ascii="仿宋_GB2312" w:eastAsia="仿宋_GB2312"/>
                <w:szCs w:val="21"/>
              </w:rPr>
            </w:pPr>
            <w:r>
              <w:rPr>
                <w:rFonts w:hint="eastAsia" w:ascii="仿宋_GB2312" w:eastAsia="仿宋_GB2312"/>
                <w:szCs w:val="21"/>
              </w:rPr>
              <w:t>气溶胶γ核素</w:t>
            </w:r>
          </w:p>
        </w:tc>
        <w:tc>
          <w:tcPr>
            <w:tcW w:w="1078" w:type="pct"/>
            <w:vAlign w:val="center"/>
          </w:tcPr>
          <w:p w14:paraId="09FD8331">
            <w:pPr>
              <w:widowControl/>
              <w:jc w:val="center"/>
              <w:rPr>
                <w:rFonts w:ascii="仿宋_GB2312" w:hAnsi="宋体" w:eastAsia="仿宋_GB2312" w:cs="宋体"/>
                <w:kern w:val="0"/>
                <w:szCs w:val="21"/>
              </w:rPr>
            </w:pPr>
            <w:r>
              <w:rPr>
                <w:rFonts w:hint="eastAsia" w:ascii="仿宋_GB2312" w:hAnsi="宋体" w:eastAsia="仿宋_GB2312" w:cs="宋体"/>
                <w:kern w:val="0"/>
                <w:szCs w:val="21"/>
              </w:rPr>
              <w:t>WS/T 184</w:t>
            </w:r>
          </w:p>
        </w:tc>
        <w:tc>
          <w:tcPr>
            <w:tcW w:w="1967" w:type="pct"/>
            <w:vAlign w:val="center"/>
          </w:tcPr>
          <w:p w14:paraId="5D9EA4BF">
            <w:pPr>
              <w:widowControl/>
              <w:jc w:val="left"/>
              <w:rPr>
                <w:rFonts w:ascii="仿宋_GB2312" w:hAnsi="宋体" w:eastAsia="仿宋_GB2312" w:cs="宋体"/>
                <w:kern w:val="0"/>
                <w:szCs w:val="21"/>
              </w:rPr>
            </w:pPr>
            <w:r>
              <w:rPr>
                <w:rFonts w:hint="eastAsia" w:ascii="仿宋_GB2312" w:hAnsi="宋体" w:eastAsia="仿宋_GB2312" w:cs="宋体"/>
                <w:kern w:val="0"/>
                <w:szCs w:val="21"/>
              </w:rPr>
              <w:t>空气中放射性核素的γ能谱分析方法</w:t>
            </w:r>
          </w:p>
        </w:tc>
      </w:tr>
      <w:tr w14:paraId="74BA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223D0804">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1A6935AE">
            <w:pPr>
              <w:pStyle w:val="29"/>
              <w:widowControl w:val="0"/>
              <w:ind w:firstLine="0" w:firstLineChars="0"/>
              <w:jc w:val="center"/>
              <w:rPr>
                <w:rFonts w:ascii="仿宋_GB2312" w:eastAsia="仿宋_GB2312"/>
                <w:szCs w:val="21"/>
              </w:rPr>
            </w:pPr>
          </w:p>
        </w:tc>
        <w:tc>
          <w:tcPr>
            <w:tcW w:w="1078" w:type="pct"/>
            <w:vAlign w:val="center"/>
          </w:tcPr>
          <w:p w14:paraId="513D1ED7">
            <w:pPr>
              <w:pStyle w:val="29"/>
              <w:widowControl w:val="0"/>
              <w:ind w:firstLine="0" w:firstLineChars="0"/>
              <w:jc w:val="center"/>
              <w:rPr>
                <w:rFonts w:ascii="仿宋_GB2312" w:eastAsia="仿宋_GB2312"/>
                <w:szCs w:val="21"/>
              </w:rPr>
            </w:pPr>
            <w:r>
              <w:rPr>
                <w:rFonts w:hint="eastAsia" w:ascii="仿宋_GB2312" w:eastAsia="仿宋_GB2312"/>
                <w:szCs w:val="21"/>
              </w:rPr>
              <w:t>HJ 1149</w:t>
            </w:r>
          </w:p>
        </w:tc>
        <w:tc>
          <w:tcPr>
            <w:tcW w:w="1967" w:type="pct"/>
            <w:vAlign w:val="center"/>
          </w:tcPr>
          <w:p w14:paraId="30D4F4A6">
            <w:pPr>
              <w:pStyle w:val="29"/>
              <w:widowControl w:val="0"/>
              <w:ind w:firstLine="0" w:firstLineChars="0"/>
              <w:jc w:val="left"/>
              <w:rPr>
                <w:rFonts w:ascii="仿宋_GB2312" w:eastAsia="仿宋_GB2312"/>
                <w:szCs w:val="21"/>
              </w:rPr>
            </w:pPr>
            <w:r>
              <w:rPr>
                <w:rFonts w:hint="eastAsia" w:ascii="仿宋_GB2312" w:eastAsia="仿宋_GB2312"/>
                <w:szCs w:val="21"/>
              </w:rPr>
              <w:t>环境空气 气溶胶中γ放射性核素的测定 滤膜压片/γ能谱法</w:t>
            </w:r>
          </w:p>
        </w:tc>
      </w:tr>
      <w:tr w14:paraId="7E89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restart"/>
            <w:shd w:val="clear" w:color="auto" w:fill="auto"/>
            <w:vAlign w:val="center"/>
          </w:tcPr>
          <w:p w14:paraId="2B8CB0B2">
            <w:pPr>
              <w:pStyle w:val="29"/>
              <w:widowControl w:val="0"/>
              <w:ind w:firstLine="0" w:firstLineChars="0"/>
              <w:jc w:val="center"/>
              <w:rPr>
                <w:rFonts w:ascii="仿宋_GB2312" w:eastAsia="仿宋_GB2312"/>
                <w:szCs w:val="21"/>
              </w:rPr>
            </w:pPr>
            <w:r>
              <w:rPr>
                <w:rFonts w:hint="eastAsia" w:ascii="仿宋_GB2312" w:eastAsia="仿宋_GB2312"/>
                <w:szCs w:val="21"/>
              </w:rPr>
              <w:t>水体</w:t>
            </w:r>
          </w:p>
        </w:tc>
        <w:tc>
          <w:tcPr>
            <w:tcW w:w="1166" w:type="pct"/>
            <w:vMerge w:val="restart"/>
            <w:shd w:val="clear" w:color="auto" w:fill="auto"/>
            <w:vAlign w:val="center"/>
          </w:tcPr>
          <w:p w14:paraId="4F635A7B">
            <w:pPr>
              <w:pStyle w:val="29"/>
              <w:widowControl w:val="0"/>
              <w:ind w:firstLine="0" w:firstLineChars="0"/>
              <w:jc w:val="center"/>
              <w:rPr>
                <w:rFonts w:ascii="仿宋_GB2312" w:eastAsia="仿宋_GB2312"/>
                <w:szCs w:val="21"/>
              </w:rPr>
            </w:pPr>
            <w:r>
              <w:rPr>
                <w:rFonts w:hint="eastAsia" w:ascii="仿宋_GB2312" w:eastAsia="仿宋_GB2312"/>
                <w:szCs w:val="21"/>
              </w:rPr>
              <w:t>总α、总β</w:t>
            </w:r>
          </w:p>
        </w:tc>
        <w:tc>
          <w:tcPr>
            <w:tcW w:w="1078" w:type="pct"/>
            <w:vAlign w:val="center"/>
          </w:tcPr>
          <w:p w14:paraId="3192F4E7">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1075</w:t>
            </w:r>
          </w:p>
        </w:tc>
        <w:tc>
          <w:tcPr>
            <w:tcW w:w="1967" w:type="pct"/>
            <w:shd w:val="clear" w:color="auto" w:fill="auto"/>
            <w:vAlign w:val="center"/>
          </w:tcPr>
          <w:p w14:paraId="6DCA220C">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水中总α放射性浓度的测定 厚源法</w:t>
            </w:r>
          </w:p>
        </w:tc>
      </w:tr>
      <w:tr w14:paraId="008D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6EDB5128">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6EC5673C">
            <w:pPr>
              <w:pStyle w:val="29"/>
              <w:widowControl w:val="0"/>
              <w:ind w:firstLine="0" w:firstLineChars="0"/>
              <w:jc w:val="center"/>
              <w:rPr>
                <w:rFonts w:ascii="仿宋_GB2312" w:eastAsia="仿宋_GB2312"/>
                <w:szCs w:val="21"/>
              </w:rPr>
            </w:pPr>
          </w:p>
        </w:tc>
        <w:tc>
          <w:tcPr>
            <w:tcW w:w="1078" w:type="pct"/>
            <w:vAlign w:val="center"/>
          </w:tcPr>
          <w:p w14:paraId="261664CE">
            <w:pPr>
              <w:pStyle w:val="29"/>
              <w:widowControl w:val="0"/>
              <w:ind w:firstLine="0" w:firstLineChars="0"/>
              <w:jc w:val="center"/>
              <w:rPr>
                <w:rFonts w:ascii="仿宋_GB2312" w:eastAsia="仿宋_GB2312"/>
                <w:szCs w:val="21"/>
              </w:rPr>
            </w:pPr>
            <w:r>
              <w:rPr>
                <w:rFonts w:hint="eastAsia" w:ascii="仿宋_GB2312" w:eastAsia="仿宋_GB2312"/>
                <w:szCs w:val="21"/>
              </w:rPr>
              <w:t>HJ 898</w:t>
            </w:r>
          </w:p>
        </w:tc>
        <w:tc>
          <w:tcPr>
            <w:tcW w:w="1967" w:type="pct"/>
            <w:shd w:val="clear" w:color="auto" w:fill="auto"/>
            <w:vAlign w:val="center"/>
          </w:tcPr>
          <w:p w14:paraId="4425FDFD">
            <w:pPr>
              <w:pStyle w:val="29"/>
              <w:widowControl w:val="0"/>
              <w:ind w:firstLine="0" w:firstLineChars="0"/>
              <w:jc w:val="left"/>
              <w:rPr>
                <w:rFonts w:ascii="仿宋_GB2312" w:eastAsia="仿宋_GB2312"/>
                <w:szCs w:val="21"/>
              </w:rPr>
            </w:pPr>
            <w:r>
              <w:rPr>
                <w:rFonts w:hint="eastAsia" w:ascii="仿宋_GB2312" w:eastAsia="仿宋_GB2312"/>
                <w:szCs w:val="21"/>
              </w:rPr>
              <w:t>水质 总α放射性的测定 厚源法</w:t>
            </w:r>
          </w:p>
        </w:tc>
      </w:tr>
      <w:tr w14:paraId="5BEA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573A2723">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6CFC3B3C">
            <w:pPr>
              <w:pStyle w:val="29"/>
              <w:widowControl w:val="0"/>
              <w:ind w:firstLine="0" w:firstLineChars="0"/>
              <w:jc w:val="center"/>
              <w:rPr>
                <w:rFonts w:ascii="仿宋_GB2312" w:eastAsia="仿宋_GB2312"/>
                <w:szCs w:val="21"/>
              </w:rPr>
            </w:pPr>
          </w:p>
        </w:tc>
        <w:tc>
          <w:tcPr>
            <w:tcW w:w="1078" w:type="pct"/>
            <w:vAlign w:val="center"/>
          </w:tcPr>
          <w:p w14:paraId="23796A14">
            <w:pPr>
              <w:widowControl/>
              <w:jc w:val="center"/>
              <w:rPr>
                <w:rFonts w:ascii="仿宋_GB2312" w:hAnsi="宋体" w:eastAsia="仿宋_GB2312" w:cs="宋体"/>
                <w:kern w:val="0"/>
                <w:szCs w:val="21"/>
              </w:rPr>
            </w:pPr>
            <w:r>
              <w:rPr>
                <w:rFonts w:hint="eastAsia" w:ascii="仿宋_GB2312" w:hAnsi="宋体" w:eastAsia="仿宋_GB2312" w:cs="宋体"/>
                <w:kern w:val="0"/>
                <w:szCs w:val="21"/>
              </w:rPr>
              <w:t>EJ/T 900</w:t>
            </w:r>
          </w:p>
        </w:tc>
        <w:tc>
          <w:tcPr>
            <w:tcW w:w="1967" w:type="pct"/>
            <w:shd w:val="clear" w:color="auto" w:fill="auto"/>
            <w:vAlign w:val="center"/>
          </w:tcPr>
          <w:p w14:paraId="03E74FB8">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水中总β放射性测定 蒸发法</w:t>
            </w:r>
          </w:p>
        </w:tc>
      </w:tr>
      <w:tr w14:paraId="4C25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3B1424B1">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0ED07C4F">
            <w:pPr>
              <w:pStyle w:val="29"/>
              <w:widowControl w:val="0"/>
              <w:ind w:firstLine="0" w:firstLineChars="0"/>
              <w:jc w:val="center"/>
              <w:rPr>
                <w:rFonts w:ascii="仿宋_GB2312" w:eastAsia="仿宋_GB2312"/>
                <w:szCs w:val="21"/>
              </w:rPr>
            </w:pPr>
          </w:p>
        </w:tc>
        <w:tc>
          <w:tcPr>
            <w:tcW w:w="1078" w:type="pct"/>
            <w:vAlign w:val="center"/>
          </w:tcPr>
          <w:p w14:paraId="6F3DACA7">
            <w:pPr>
              <w:pStyle w:val="29"/>
              <w:widowControl w:val="0"/>
              <w:ind w:firstLine="0" w:firstLineChars="0"/>
              <w:jc w:val="center"/>
              <w:rPr>
                <w:rFonts w:ascii="仿宋_GB2312" w:eastAsia="仿宋_GB2312"/>
                <w:szCs w:val="21"/>
              </w:rPr>
            </w:pPr>
            <w:r>
              <w:rPr>
                <w:rFonts w:hint="eastAsia" w:ascii="仿宋_GB2312" w:eastAsia="仿宋_GB2312"/>
                <w:szCs w:val="21"/>
              </w:rPr>
              <w:t>HJ 899</w:t>
            </w:r>
          </w:p>
        </w:tc>
        <w:tc>
          <w:tcPr>
            <w:tcW w:w="1967" w:type="pct"/>
            <w:shd w:val="clear" w:color="auto" w:fill="auto"/>
            <w:vAlign w:val="center"/>
          </w:tcPr>
          <w:p w14:paraId="2C156739">
            <w:pPr>
              <w:pStyle w:val="29"/>
              <w:widowControl w:val="0"/>
              <w:ind w:firstLine="0" w:firstLineChars="0"/>
              <w:jc w:val="left"/>
              <w:rPr>
                <w:rFonts w:ascii="仿宋_GB2312" w:eastAsia="仿宋_GB2312"/>
                <w:szCs w:val="21"/>
              </w:rPr>
            </w:pPr>
            <w:r>
              <w:rPr>
                <w:rFonts w:hint="eastAsia" w:ascii="仿宋_GB2312" w:eastAsia="仿宋_GB2312"/>
                <w:szCs w:val="21"/>
              </w:rPr>
              <w:t>水质 总β放射性的测定 厚源法</w:t>
            </w:r>
          </w:p>
        </w:tc>
      </w:tr>
      <w:tr w14:paraId="4E00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603F0F0C">
            <w:pPr>
              <w:pStyle w:val="29"/>
              <w:widowControl w:val="0"/>
              <w:ind w:firstLine="0" w:firstLineChars="0"/>
              <w:jc w:val="center"/>
              <w:rPr>
                <w:rFonts w:ascii="仿宋_GB2312" w:eastAsia="仿宋_GB2312"/>
                <w:szCs w:val="21"/>
              </w:rPr>
            </w:pPr>
          </w:p>
        </w:tc>
        <w:tc>
          <w:tcPr>
            <w:tcW w:w="1166" w:type="pct"/>
            <w:vMerge w:val="restart"/>
            <w:shd w:val="clear" w:color="auto" w:fill="auto"/>
            <w:vAlign w:val="center"/>
          </w:tcPr>
          <w:p w14:paraId="6E313AEA">
            <w:pPr>
              <w:pStyle w:val="29"/>
              <w:widowControl w:val="0"/>
              <w:ind w:firstLine="0" w:firstLineChars="0"/>
              <w:jc w:val="center"/>
              <w:rPr>
                <w:rFonts w:ascii="仿宋_GB2312" w:eastAsia="仿宋_GB2312"/>
                <w:szCs w:val="21"/>
              </w:rPr>
            </w:pPr>
            <w:r>
              <w:rPr>
                <w:rFonts w:hint="eastAsia" w:ascii="仿宋_GB2312" w:eastAsia="仿宋_GB2312"/>
                <w:szCs w:val="21"/>
              </w:rPr>
              <w:t>U</w:t>
            </w:r>
          </w:p>
        </w:tc>
        <w:tc>
          <w:tcPr>
            <w:tcW w:w="1078" w:type="pct"/>
            <w:vAlign w:val="center"/>
          </w:tcPr>
          <w:p w14:paraId="71AE1100">
            <w:pPr>
              <w:pStyle w:val="29"/>
              <w:widowControl w:val="0"/>
              <w:ind w:firstLine="0" w:firstLineChars="0"/>
              <w:jc w:val="center"/>
              <w:rPr>
                <w:rFonts w:ascii="仿宋_GB2312" w:eastAsia="仿宋_GB2312"/>
                <w:szCs w:val="21"/>
              </w:rPr>
            </w:pPr>
            <w:r>
              <w:rPr>
                <w:rFonts w:hint="eastAsia" w:ascii="仿宋_GB2312" w:eastAsia="仿宋_GB2312"/>
                <w:szCs w:val="21"/>
              </w:rPr>
              <w:t>HJ 840</w:t>
            </w:r>
          </w:p>
        </w:tc>
        <w:tc>
          <w:tcPr>
            <w:tcW w:w="1967" w:type="pct"/>
            <w:vAlign w:val="center"/>
          </w:tcPr>
          <w:p w14:paraId="3DCF1FB7">
            <w:pPr>
              <w:pStyle w:val="29"/>
              <w:widowControl w:val="0"/>
              <w:ind w:firstLine="0" w:firstLineChars="0"/>
              <w:jc w:val="left"/>
              <w:rPr>
                <w:rFonts w:ascii="仿宋_GB2312" w:eastAsia="仿宋_GB2312"/>
                <w:szCs w:val="21"/>
              </w:rPr>
            </w:pPr>
            <w:r>
              <w:rPr>
                <w:rFonts w:hint="eastAsia" w:ascii="仿宋_GB2312" w:eastAsia="仿宋_GB2312"/>
                <w:szCs w:val="21"/>
              </w:rPr>
              <w:t>环境样品中微量铀的分析方法</w:t>
            </w:r>
          </w:p>
        </w:tc>
      </w:tr>
      <w:tr w14:paraId="339B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062ADA42">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3503C302">
            <w:pPr>
              <w:pStyle w:val="29"/>
              <w:widowControl w:val="0"/>
              <w:ind w:firstLine="0" w:firstLineChars="0"/>
              <w:jc w:val="center"/>
              <w:rPr>
                <w:rFonts w:ascii="仿宋_GB2312" w:eastAsia="仿宋_GB2312"/>
                <w:szCs w:val="21"/>
              </w:rPr>
            </w:pPr>
          </w:p>
        </w:tc>
        <w:tc>
          <w:tcPr>
            <w:tcW w:w="1078" w:type="pct"/>
            <w:vAlign w:val="center"/>
          </w:tcPr>
          <w:p w14:paraId="6C5D03EF">
            <w:pPr>
              <w:widowControl/>
              <w:jc w:val="center"/>
              <w:rPr>
                <w:rFonts w:ascii="仿宋_GB2312" w:hAnsi="宋体" w:eastAsia="仿宋_GB2312" w:cs="宋体"/>
                <w:kern w:val="0"/>
                <w:szCs w:val="21"/>
              </w:rPr>
            </w:pPr>
            <w:r>
              <w:rPr>
                <w:rFonts w:hint="eastAsia" w:ascii="仿宋_GB2312" w:hAnsi="宋体" w:eastAsia="仿宋_GB2312" w:cs="宋体"/>
                <w:kern w:val="0"/>
                <w:szCs w:val="21"/>
              </w:rPr>
              <w:t>GB 14883.7</w:t>
            </w:r>
          </w:p>
        </w:tc>
        <w:tc>
          <w:tcPr>
            <w:tcW w:w="1967" w:type="pct"/>
            <w:vAlign w:val="center"/>
          </w:tcPr>
          <w:p w14:paraId="476CCA5B">
            <w:pPr>
              <w:widowControl/>
              <w:jc w:val="left"/>
              <w:rPr>
                <w:rFonts w:ascii="仿宋_GB2312" w:hAnsi="宋体" w:eastAsia="仿宋_GB2312" w:cs="宋体"/>
                <w:kern w:val="0"/>
                <w:szCs w:val="21"/>
              </w:rPr>
            </w:pPr>
            <w:r>
              <w:rPr>
                <w:rFonts w:hint="eastAsia" w:ascii="仿宋_GB2312" w:hAnsi="宋体" w:eastAsia="仿宋_GB2312" w:cs="宋体"/>
                <w:kern w:val="0"/>
                <w:szCs w:val="21"/>
              </w:rPr>
              <w:t>食品安全国家标准 食品中放射性物质天然针和铀的测定</w:t>
            </w:r>
          </w:p>
        </w:tc>
      </w:tr>
      <w:tr w14:paraId="1431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7CF3F889">
            <w:pPr>
              <w:pStyle w:val="29"/>
              <w:widowControl w:val="0"/>
              <w:ind w:firstLine="0" w:firstLineChars="0"/>
              <w:jc w:val="center"/>
              <w:rPr>
                <w:rFonts w:ascii="仿宋_GB2312" w:eastAsia="仿宋_GB2312"/>
                <w:szCs w:val="21"/>
              </w:rPr>
            </w:pPr>
          </w:p>
        </w:tc>
        <w:tc>
          <w:tcPr>
            <w:tcW w:w="1166" w:type="pct"/>
            <w:vMerge w:val="restart"/>
            <w:shd w:val="clear" w:color="auto" w:fill="auto"/>
            <w:vAlign w:val="center"/>
          </w:tcPr>
          <w:p w14:paraId="36929555">
            <w:pPr>
              <w:pStyle w:val="29"/>
              <w:widowControl w:val="0"/>
              <w:ind w:firstLine="0" w:firstLineChars="0"/>
              <w:jc w:val="center"/>
              <w:rPr>
                <w:rFonts w:ascii="仿宋_GB2312" w:eastAsia="仿宋_GB2312"/>
                <w:szCs w:val="21"/>
              </w:rPr>
            </w:pPr>
            <w:r>
              <w:rPr>
                <w:rFonts w:hint="eastAsia" w:ascii="仿宋_GB2312" w:eastAsia="仿宋_GB2312"/>
                <w:szCs w:val="21"/>
              </w:rPr>
              <w:t>Th</w:t>
            </w:r>
          </w:p>
        </w:tc>
        <w:tc>
          <w:tcPr>
            <w:tcW w:w="1078" w:type="pct"/>
            <w:vAlign w:val="center"/>
          </w:tcPr>
          <w:p w14:paraId="3077B792">
            <w:pPr>
              <w:pStyle w:val="29"/>
              <w:widowControl w:val="0"/>
              <w:ind w:firstLine="0" w:firstLineChars="0"/>
              <w:jc w:val="center"/>
              <w:rPr>
                <w:rFonts w:ascii="仿宋_GB2312" w:eastAsia="仿宋_GB2312"/>
                <w:szCs w:val="21"/>
              </w:rPr>
            </w:pPr>
            <w:r>
              <w:rPr>
                <w:rFonts w:hint="eastAsia" w:ascii="仿宋_GB2312" w:eastAsia="仿宋_GB2312"/>
                <w:szCs w:val="21"/>
              </w:rPr>
              <w:t>GB 11224</w:t>
            </w:r>
          </w:p>
        </w:tc>
        <w:tc>
          <w:tcPr>
            <w:tcW w:w="1967" w:type="pct"/>
            <w:vAlign w:val="center"/>
          </w:tcPr>
          <w:p w14:paraId="7BCA1FC5">
            <w:pPr>
              <w:pStyle w:val="29"/>
              <w:widowControl w:val="0"/>
              <w:ind w:firstLine="0" w:firstLineChars="0"/>
              <w:jc w:val="left"/>
              <w:rPr>
                <w:rFonts w:ascii="仿宋_GB2312" w:eastAsia="仿宋_GB2312"/>
                <w:szCs w:val="21"/>
              </w:rPr>
            </w:pPr>
            <w:r>
              <w:rPr>
                <w:rFonts w:hint="eastAsia" w:ascii="仿宋_GB2312" w:eastAsia="仿宋_GB2312"/>
                <w:szCs w:val="21"/>
              </w:rPr>
              <w:t>水中钍的分析方法</w:t>
            </w:r>
          </w:p>
        </w:tc>
      </w:tr>
      <w:tr w14:paraId="09F5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561AF1DD">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62BD850C">
            <w:pPr>
              <w:pStyle w:val="29"/>
              <w:widowControl w:val="0"/>
              <w:ind w:firstLine="0" w:firstLineChars="0"/>
              <w:jc w:val="center"/>
              <w:rPr>
                <w:rFonts w:ascii="仿宋_GB2312" w:eastAsia="仿宋_GB2312"/>
                <w:szCs w:val="21"/>
              </w:rPr>
            </w:pPr>
          </w:p>
        </w:tc>
        <w:tc>
          <w:tcPr>
            <w:tcW w:w="1078" w:type="pct"/>
            <w:vAlign w:val="center"/>
          </w:tcPr>
          <w:p w14:paraId="1BA60E6E">
            <w:pPr>
              <w:widowControl/>
              <w:jc w:val="center"/>
              <w:rPr>
                <w:rFonts w:ascii="仿宋_GB2312" w:hAnsi="宋体" w:eastAsia="仿宋_GB2312" w:cs="宋体"/>
                <w:kern w:val="0"/>
                <w:szCs w:val="21"/>
              </w:rPr>
            </w:pPr>
            <w:r>
              <w:rPr>
                <w:rFonts w:hint="eastAsia" w:ascii="仿宋_GB2312" w:hAnsi="宋体" w:eastAsia="仿宋_GB2312" w:cs="宋体"/>
                <w:kern w:val="0"/>
                <w:szCs w:val="21"/>
              </w:rPr>
              <w:t>GB 14883.7</w:t>
            </w:r>
          </w:p>
        </w:tc>
        <w:tc>
          <w:tcPr>
            <w:tcW w:w="1967" w:type="pct"/>
            <w:vAlign w:val="center"/>
          </w:tcPr>
          <w:p w14:paraId="4C84491C">
            <w:pPr>
              <w:widowControl/>
              <w:jc w:val="left"/>
              <w:rPr>
                <w:rFonts w:ascii="仿宋_GB2312" w:hAnsi="宋体" w:eastAsia="仿宋_GB2312" w:cs="宋体"/>
                <w:kern w:val="0"/>
                <w:szCs w:val="21"/>
              </w:rPr>
            </w:pPr>
            <w:r>
              <w:rPr>
                <w:rFonts w:hint="eastAsia" w:ascii="仿宋_GB2312" w:hAnsi="宋体" w:eastAsia="仿宋_GB2312" w:cs="宋体"/>
                <w:kern w:val="0"/>
                <w:szCs w:val="21"/>
              </w:rPr>
              <w:t>食品安全国家标准 食品中放射性物质天然针和铀的测定</w:t>
            </w:r>
          </w:p>
        </w:tc>
      </w:tr>
      <w:tr w14:paraId="7F51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2AFD0675">
            <w:pPr>
              <w:pStyle w:val="29"/>
              <w:widowControl w:val="0"/>
              <w:ind w:firstLine="0" w:firstLineChars="0"/>
              <w:jc w:val="center"/>
              <w:rPr>
                <w:rFonts w:ascii="仿宋_GB2312" w:eastAsia="仿宋_GB2312"/>
                <w:szCs w:val="21"/>
              </w:rPr>
            </w:pPr>
          </w:p>
        </w:tc>
        <w:tc>
          <w:tcPr>
            <w:tcW w:w="1166" w:type="pct"/>
            <w:vMerge w:val="restart"/>
            <w:shd w:val="clear" w:color="auto" w:fill="auto"/>
            <w:vAlign w:val="center"/>
          </w:tcPr>
          <w:p w14:paraId="47ED70B9">
            <w:pPr>
              <w:pStyle w:val="29"/>
              <w:widowControl w:val="0"/>
              <w:ind w:firstLine="0" w:firstLineChars="0"/>
              <w:jc w:val="center"/>
              <w:rPr>
                <w:rFonts w:ascii="仿宋_GB2312" w:eastAsia="仿宋_GB2312"/>
                <w:szCs w:val="21"/>
              </w:rPr>
            </w:pPr>
            <w:r>
              <w:rPr>
                <w:rFonts w:hint="eastAsia" w:ascii="仿宋_GB2312" w:eastAsia="仿宋_GB2312"/>
                <w:szCs w:val="21"/>
                <w:vertAlign w:val="superscript"/>
              </w:rPr>
              <w:t>226</w:t>
            </w:r>
            <w:r>
              <w:rPr>
                <w:rFonts w:hint="eastAsia" w:ascii="仿宋_GB2312" w:eastAsia="仿宋_GB2312"/>
                <w:szCs w:val="21"/>
              </w:rPr>
              <w:t>Ra</w:t>
            </w:r>
          </w:p>
        </w:tc>
        <w:tc>
          <w:tcPr>
            <w:tcW w:w="1078" w:type="pct"/>
            <w:vAlign w:val="center"/>
          </w:tcPr>
          <w:p w14:paraId="7B0A4836">
            <w:pPr>
              <w:pStyle w:val="29"/>
              <w:widowControl w:val="0"/>
              <w:ind w:firstLine="0" w:firstLineChars="0"/>
              <w:jc w:val="center"/>
              <w:rPr>
                <w:rFonts w:ascii="仿宋_GB2312" w:eastAsia="仿宋_GB2312"/>
                <w:szCs w:val="21"/>
              </w:rPr>
            </w:pPr>
            <w:r>
              <w:rPr>
                <w:rFonts w:hint="eastAsia" w:ascii="仿宋_GB2312" w:eastAsia="仿宋_GB2312"/>
                <w:szCs w:val="21"/>
              </w:rPr>
              <w:t>GB 11214</w:t>
            </w:r>
          </w:p>
        </w:tc>
        <w:tc>
          <w:tcPr>
            <w:tcW w:w="1967" w:type="pct"/>
            <w:vAlign w:val="center"/>
          </w:tcPr>
          <w:p w14:paraId="54814C1B">
            <w:pPr>
              <w:pStyle w:val="29"/>
              <w:widowControl w:val="0"/>
              <w:ind w:firstLine="0" w:firstLineChars="0"/>
              <w:jc w:val="left"/>
              <w:rPr>
                <w:rFonts w:ascii="仿宋_GB2312" w:eastAsia="仿宋_GB2312"/>
                <w:szCs w:val="21"/>
              </w:rPr>
            </w:pPr>
            <w:r>
              <w:rPr>
                <w:rFonts w:hint="eastAsia" w:ascii="仿宋_GB2312" w:eastAsia="仿宋_GB2312"/>
                <w:szCs w:val="21"/>
              </w:rPr>
              <w:t>水中镭-226的分析测定</w:t>
            </w:r>
          </w:p>
        </w:tc>
      </w:tr>
      <w:tr w14:paraId="06FA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783A68B1">
            <w:pPr>
              <w:pStyle w:val="29"/>
              <w:widowControl w:val="0"/>
              <w:ind w:firstLine="0" w:firstLineChars="0"/>
              <w:jc w:val="center"/>
              <w:rPr>
                <w:rFonts w:ascii="仿宋_GB2312" w:eastAsia="仿宋_GB2312"/>
                <w:szCs w:val="21"/>
              </w:rPr>
            </w:pPr>
          </w:p>
        </w:tc>
        <w:tc>
          <w:tcPr>
            <w:tcW w:w="1166" w:type="pct"/>
            <w:vMerge w:val="continue"/>
            <w:shd w:val="clear" w:color="auto" w:fill="auto"/>
            <w:vAlign w:val="center"/>
          </w:tcPr>
          <w:p w14:paraId="73CF55FE">
            <w:pPr>
              <w:pStyle w:val="29"/>
              <w:widowControl w:val="0"/>
              <w:ind w:firstLine="0" w:firstLineChars="0"/>
              <w:jc w:val="center"/>
              <w:rPr>
                <w:rFonts w:ascii="仿宋_GB2312" w:eastAsia="仿宋_GB2312"/>
                <w:szCs w:val="21"/>
                <w:vertAlign w:val="superscript"/>
              </w:rPr>
            </w:pPr>
          </w:p>
        </w:tc>
        <w:tc>
          <w:tcPr>
            <w:tcW w:w="1078" w:type="pct"/>
            <w:vAlign w:val="center"/>
          </w:tcPr>
          <w:p w14:paraId="7422EFAD">
            <w:pPr>
              <w:widowControl/>
              <w:jc w:val="center"/>
              <w:rPr>
                <w:rFonts w:ascii="仿宋_GB2312" w:hAnsi="宋体" w:eastAsia="仿宋_GB2312" w:cs="宋体"/>
                <w:kern w:val="0"/>
                <w:szCs w:val="21"/>
              </w:rPr>
            </w:pPr>
            <w:r>
              <w:rPr>
                <w:rFonts w:hint="eastAsia" w:ascii="仿宋_GB2312" w:hAnsi="宋体" w:eastAsia="仿宋_GB2312" w:cs="宋体"/>
                <w:kern w:val="0"/>
                <w:szCs w:val="21"/>
              </w:rPr>
              <w:t>GB/T 11218</w:t>
            </w:r>
          </w:p>
        </w:tc>
        <w:tc>
          <w:tcPr>
            <w:tcW w:w="1967" w:type="pct"/>
            <w:vAlign w:val="center"/>
          </w:tcPr>
          <w:p w14:paraId="7B51AA2B">
            <w:pPr>
              <w:widowControl/>
              <w:jc w:val="left"/>
              <w:rPr>
                <w:rFonts w:ascii="仿宋_GB2312" w:hAnsi="宋体" w:eastAsia="仿宋_GB2312" w:cs="宋体"/>
                <w:kern w:val="0"/>
                <w:szCs w:val="21"/>
              </w:rPr>
            </w:pPr>
            <w:r>
              <w:rPr>
                <w:rFonts w:hint="eastAsia" w:ascii="仿宋_GB2312" w:hAnsi="宋体" w:eastAsia="仿宋_GB2312" w:cs="宋体"/>
                <w:kern w:val="0"/>
                <w:szCs w:val="21"/>
              </w:rPr>
              <w:t>水中镭的α放射性核素的测定</w:t>
            </w:r>
          </w:p>
        </w:tc>
      </w:tr>
      <w:tr w14:paraId="30F6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463307F4">
            <w:pPr>
              <w:pStyle w:val="29"/>
              <w:widowControl w:val="0"/>
              <w:ind w:firstLine="0" w:firstLineChars="0"/>
              <w:jc w:val="center"/>
              <w:rPr>
                <w:rFonts w:ascii="仿宋_GB2312" w:eastAsia="仿宋_GB2312"/>
                <w:szCs w:val="21"/>
              </w:rPr>
            </w:pPr>
          </w:p>
        </w:tc>
        <w:tc>
          <w:tcPr>
            <w:tcW w:w="1166" w:type="pct"/>
            <w:shd w:val="clear" w:color="auto" w:fill="auto"/>
            <w:vAlign w:val="center"/>
          </w:tcPr>
          <w:p w14:paraId="2EC4F269">
            <w:pPr>
              <w:pStyle w:val="29"/>
              <w:widowControl w:val="0"/>
              <w:ind w:firstLine="0" w:firstLineChars="0"/>
              <w:jc w:val="center"/>
              <w:rPr>
                <w:rFonts w:ascii="仿宋_GB2312" w:eastAsia="仿宋_GB2312"/>
                <w:szCs w:val="21"/>
              </w:rPr>
            </w:pPr>
            <w:r>
              <w:rPr>
                <w:rFonts w:hint="eastAsia" w:ascii="仿宋_GB2312" w:eastAsia="仿宋_GB2312"/>
                <w:szCs w:val="21"/>
              </w:rPr>
              <w:t>γ核素</w:t>
            </w:r>
          </w:p>
        </w:tc>
        <w:tc>
          <w:tcPr>
            <w:tcW w:w="1078" w:type="pct"/>
            <w:vAlign w:val="center"/>
          </w:tcPr>
          <w:p w14:paraId="549466A8">
            <w:pPr>
              <w:pStyle w:val="29"/>
              <w:widowControl w:val="0"/>
              <w:ind w:firstLine="0" w:firstLineChars="0"/>
              <w:jc w:val="center"/>
              <w:rPr>
                <w:rFonts w:ascii="仿宋_GB2312" w:eastAsia="仿宋_GB2312"/>
                <w:szCs w:val="21"/>
              </w:rPr>
            </w:pPr>
            <w:r>
              <w:rPr>
                <w:rFonts w:hint="eastAsia" w:ascii="仿宋_GB2312" w:eastAsia="仿宋_GB2312"/>
                <w:szCs w:val="21"/>
              </w:rPr>
              <w:t>GB/T 16145</w:t>
            </w:r>
          </w:p>
        </w:tc>
        <w:tc>
          <w:tcPr>
            <w:tcW w:w="1967" w:type="pct"/>
            <w:vAlign w:val="center"/>
          </w:tcPr>
          <w:p w14:paraId="5C3323EE">
            <w:pPr>
              <w:pStyle w:val="29"/>
              <w:widowControl w:val="0"/>
              <w:ind w:firstLine="0" w:firstLineChars="0"/>
              <w:jc w:val="left"/>
              <w:rPr>
                <w:rFonts w:ascii="仿宋_GB2312" w:eastAsia="仿宋_GB2312"/>
                <w:szCs w:val="21"/>
              </w:rPr>
            </w:pPr>
            <w:r>
              <w:rPr>
                <w:rFonts w:hint="eastAsia" w:ascii="仿宋_GB2312" w:eastAsia="仿宋_GB2312"/>
                <w:szCs w:val="21"/>
              </w:rPr>
              <w:t>环境及生物样品中放射性核素的γ能谱分析方法</w:t>
            </w:r>
          </w:p>
        </w:tc>
      </w:tr>
      <w:tr w14:paraId="4B31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Merge w:val="continue"/>
            <w:shd w:val="clear" w:color="auto" w:fill="auto"/>
            <w:vAlign w:val="center"/>
          </w:tcPr>
          <w:p w14:paraId="7302B6FC">
            <w:pPr>
              <w:pStyle w:val="29"/>
              <w:widowControl w:val="0"/>
              <w:ind w:firstLine="0" w:firstLineChars="0"/>
              <w:jc w:val="center"/>
              <w:rPr>
                <w:rFonts w:ascii="仿宋_GB2312" w:eastAsia="仿宋_GB2312"/>
                <w:szCs w:val="21"/>
              </w:rPr>
            </w:pPr>
          </w:p>
        </w:tc>
        <w:tc>
          <w:tcPr>
            <w:tcW w:w="1166" w:type="pct"/>
            <w:shd w:val="clear" w:color="auto" w:fill="auto"/>
            <w:vAlign w:val="center"/>
          </w:tcPr>
          <w:p w14:paraId="4A32D4B6">
            <w:pPr>
              <w:pStyle w:val="29"/>
              <w:widowControl w:val="0"/>
              <w:ind w:firstLine="0" w:firstLineChars="0"/>
              <w:jc w:val="center"/>
              <w:rPr>
                <w:rFonts w:ascii="仿宋_GB2312" w:eastAsia="仿宋_GB2312"/>
                <w:szCs w:val="21"/>
              </w:rPr>
            </w:pPr>
            <w:r>
              <w:rPr>
                <w:rFonts w:hint="eastAsia" w:ascii="仿宋_GB2312" w:eastAsia="仿宋_GB2312"/>
                <w:szCs w:val="21"/>
              </w:rPr>
              <w:t>沉积物γ核素</w:t>
            </w:r>
          </w:p>
        </w:tc>
        <w:tc>
          <w:tcPr>
            <w:tcW w:w="1078" w:type="pct"/>
            <w:vAlign w:val="center"/>
          </w:tcPr>
          <w:p w14:paraId="1B172B01">
            <w:pPr>
              <w:pStyle w:val="29"/>
              <w:widowControl w:val="0"/>
              <w:ind w:firstLine="0" w:firstLineChars="0"/>
              <w:jc w:val="center"/>
              <w:rPr>
                <w:rFonts w:ascii="仿宋_GB2312" w:eastAsia="仿宋_GB2312"/>
                <w:szCs w:val="21"/>
              </w:rPr>
            </w:pPr>
            <w:r>
              <w:rPr>
                <w:rFonts w:hint="eastAsia" w:ascii="仿宋_GB2312" w:eastAsia="仿宋_GB2312"/>
                <w:szCs w:val="21"/>
              </w:rPr>
              <w:t>GB/T 16145</w:t>
            </w:r>
          </w:p>
        </w:tc>
        <w:tc>
          <w:tcPr>
            <w:tcW w:w="1967" w:type="pct"/>
            <w:vAlign w:val="center"/>
          </w:tcPr>
          <w:p w14:paraId="62D97384">
            <w:pPr>
              <w:pStyle w:val="29"/>
              <w:widowControl w:val="0"/>
              <w:ind w:firstLine="0" w:firstLineChars="0"/>
              <w:jc w:val="left"/>
              <w:rPr>
                <w:rFonts w:ascii="仿宋_GB2312" w:eastAsia="仿宋_GB2312"/>
                <w:szCs w:val="21"/>
              </w:rPr>
            </w:pPr>
            <w:r>
              <w:rPr>
                <w:rFonts w:hint="eastAsia" w:ascii="仿宋_GB2312" w:eastAsia="仿宋_GB2312"/>
                <w:szCs w:val="21"/>
              </w:rPr>
              <w:t>环境及生物样品中放射性核素的γ能谱分析方法</w:t>
            </w:r>
          </w:p>
        </w:tc>
      </w:tr>
      <w:tr w14:paraId="7E30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14:paraId="46ACCA72">
            <w:pPr>
              <w:pStyle w:val="29"/>
              <w:widowControl w:val="0"/>
              <w:ind w:firstLine="0" w:firstLineChars="0"/>
              <w:jc w:val="center"/>
              <w:rPr>
                <w:rFonts w:ascii="仿宋_GB2312" w:eastAsia="仿宋_GB2312"/>
                <w:szCs w:val="21"/>
              </w:rPr>
            </w:pPr>
            <w:r>
              <w:rPr>
                <w:rFonts w:hint="eastAsia" w:ascii="仿宋_GB2312" w:eastAsia="仿宋_GB2312"/>
                <w:szCs w:val="21"/>
              </w:rPr>
              <w:t>生物</w:t>
            </w:r>
          </w:p>
        </w:tc>
        <w:tc>
          <w:tcPr>
            <w:tcW w:w="1166" w:type="pct"/>
            <w:shd w:val="clear" w:color="auto" w:fill="auto"/>
            <w:vAlign w:val="center"/>
          </w:tcPr>
          <w:p w14:paraId="6DDF5167">
            <w:pPr>
              <w:pStyle w:val="29"/>
              <w:widowControl w:val="0"/>
              <w:ind w:firstLine="0" w:firstLineChars="0"/>
              <w:jc w:val="center"/>
              <w:rPr>
                <w:rFonts w:ascii="仿宋_GB2312" w:eastAsia="仿宋_GB2312"/>
                <w:szCs w:val="21"/>
              </w:rPr>
            </w:pPr>
            <w:r>
              <w:rPr>
                <w:rFonts w:hint="eastAsia" w:ascii="仿宋_GB2312" w:eastAsia="仿宋_GB2312"/>
                <w:szCs w:val="21"/>
              </w:rPr>
              <w:t>γ核素</w:t>
            </w:r>
          </w:p>
        </w:tc>
        <w:tc>
          <w:tcPr>
            <w:tcW w:w="1078" w:type="pct"/>
            <w:vAlign w:val="center"/>
          </w:tcPr>
          <w:p w14:paraId="2B42BC07">
            <w:pPr>
              <w:pStyle w:val="29"/>
              <w:widowControl w:val="0"/>
              <w:ind w:firstLine="0" w:firstLineChars="0"/>
              <w:jc w:val="center"/>
              <w:rPr>
                <w:rFonts w:ascii="仿宋_GB2312" w:eastAsia="仿宋_GB2312"/>
                <w:szCs w:val="21"/>
              </w:rPr>
            </w:pPr>
            <w:r>
              <w:rPr>
                <w:rFonts w:hint="eastAsia" w:ascii="仿宋_GB2312" w:eastAsia="仿宋_GB2312"/>
                <w:szCs w:val="21"/>
              </w:rPr>
              <w:t>GB/T 16145</w:t>
            </w:r>
          </w:p>
        </w:tc>
        <w:tc>
          <w:tcPr>
            <w:tcW w:w="1967" w:type="pct"/>
            <w:vAlign w:val="center"/>
          </w:tcPr>
          <w:p w14:paraId="3A3429B1">
            <w:pPr>
              <w:pStyle w:val="29"/>
              <w:widowControl w:val="0"/>
              <w:ind w:firstLine="0" w:firstLineChars="0"/>
              <w:jc w:val="left"/>
              <w:rPr>
                <w:rFonts w:ascii="仿宋_GB2312" w:eastAsia="仿宋_GB2312"/>
                <w:szCs w:val="21"/>
              </w:rPr>
            </w:pPr>
            <w:r>
              <w:rPr>
                <w:rFonts w:hint="eastAsia" w:ascii="仿宋_GB2312" w:eastAsia="仿宋_GB2312"/>
                <w:szCs w:val="21"/>
              </w:rPr>
              <w:t>环境及生物样品中放射性核素的γ能谱分析方法</w:t>
            </w:r>
          </w:p>
        </w:tc>
      </w:tr>
    </w:tbl>
    <w:p w14:paraId="1B387A81">
      <w:pPr>
        <w:spacing w:line="560" w:lineRule="exact"/>
        <w:ind w:firstLine="560" w:firstLineChars="200"/>
        <w:rPr>
          <w:rFonts w:ascii="仿宋_GB2312" w:hAnsi="仿宋_GB2312" w:eastAsia="仿宋_GB2312" w:cs="仿宋_GB2312"/>
          <w:sz w:val="28"/>
          <w:szCs w:val="28"/>
        </w:rPr>
      </w:pPr>
    </w:p>
    <w:p w14:paraId="60C07011">
      <w:pPr>
        <w:spacing w:line="560" w:lineRule="exact"/>
        <w:ind w:firstLine="560" w:firstLineChars="200"/>
        <w:outlineLvl w:val="1"/>
        <w:rPr>
          <w:rFonts w:ascii="仿宋_GB2312" w:hAnsi="仿宋_GB2312" w:eastAsia="仿宋_GB2312" w:cs="仿宋_GB2312"/>
          <w:sz w:val="28"/>
          <w:szCs w:val="28"/>
        </w:rPr>
      </w:pPr>
      <w:bookmarkStart w:id="42" w:name="_Toc203050058"/>
      <w:bookmarkStart w:id="43" w:name="_Toc199516628"/>
      <w:r>
        <w:rPr>
          <w:rFonts w:hint="eastAsia" w:ascii="仿宋_GB2312" w:hAnsi="仿宋_GB2312" w:eastAsia="仿宋_GB2312" w:cs="仿宋_GB2312"/>
          <w:sz w:val="28"/>
          <w:szCs w:val="28"/>
        </w:rPr>
        <w:t>7.数据记录及处理</w:t>
      </w:r>
      <w:bookmarkEnd w:id="42"/>
      <w:bookmarkEnd w:id="43"/>
    </w:p>
    <w:p w14:paraId="519827C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场直接测量项目需要依照对应的标准规范内规定格式记录现场检测信息，包括调查点为及取样点位的基础信息、气象条件、仪器型号、仪器编号等关键信息，采样实验室分析记录需要严格遵照各检验检测机构的相关要求进行。</w:t>
      </w:r>
    </w:p>
    <w:p w14:paraId="553AAA79">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数据处理</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明确数据处理的依据、数据处理的方法、可疑数据的剔除</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数据的保存等内容</w:t>
      </w:r>
      <w:r>
        <w:rPr>
          <w:rFonts w:hint="eastAsia" w:ascii="仿宋_GB2312" w:hAnsi="仿宋_GB2312" w:eastAsia="仿宋_GB2312" w:cs="仿宋_GB2312"/>
          <w:sz w:val="28"/>
          <w:szCs w:val="28"/>
        </w:rPr>
        <w:t>，对于数据的有效数字和数值修约等相关要求均按照GB/T 8170和相关辐射环境监测分析方法标准的要求执行。</w:t>
      </w:r>
    </w:p>
    <w:p w14:paraId="46AAD21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可疑数据的处理方面，根据GB/T 4883-2008《数据的统计处理和解释 正态样本离群值的判断和处理》和HJ630-2011《环境监测质量管理技术导则》，对天然放射性环境调查结果进行判断分析，综合处理可疑数据，依据判定结果确定是否需要补充采样分析或现场补测。</w:t>
      </w:r>
    </w:p>
    <w:p w14:paraId="224B09B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数据保存方面，参考</w:t>
      </w:r>
      <w:r>
        <w:rPr>
          <w:rFonts w:ascii="仿宋_GB2312" w:hAnsi="仿宋_GB2312" w:eastAsia="仿宋_GB2312" w:cs="仿宋_GB2312"/>
          <w:sz w:val="28"/>
          <w:szCs w:val="28"/>
        </w:rPr>
        <w:t>HJ 8.2-2020</w:t>
      </w:r>
      <w:r>
        <w:rPr>
          <w:rFonts w:hint="eastAsia" w:ascii="仿宋_GB2312" w:hAnsi="仿宋_GB2312" w:eastAsia="仿宋_GB2312" w:cs="仿宋_GB2312"/>
          <w:sz w:val="28"/>
          <w:szCs w:val="28"/>
        </w:rPr>
        <w:t>《生态环境档案管理规范生态环境监测》和实践要求综合制定。</w:t>
      </w:r>
    </w:p>
    <w:p w14:paraId="33C1466B">
      <w:pPr>
        <w:spacing w:line="560" w:lineRule="exact"/>
        <w:ind w:firstLine="560" w:firstLineChars="200"/>
        <w:outlineLvl w:val="1"/>
        <w:rPr>
          <w:rFonts w:ascii="仿宋_GB2312" w:hAnsi="仿宋_GB2312" w:eastAsia="仿宋_GB2312" w:cs="仿宋_GB2312"/>
          <w:sz w:val="28"/>
          <w:szCs w:val="28"/>
        </w:rPr>
      </w:pPr>
      <w:bookmarkStart w:id="44" w:name="_Toc199516629"/>
      <w:bookmarkStart w:id="45" w:name="_Toc203050059"/>
      <w:r>
        <w:rPr>
          <w:rFonts w:hint="eastAsia" w:ascii="仿宋_GB2312" w:hAnsi="仿宋_GB2312" w:eastAsia="仿宋_GB2312" w:cs="仿宋_GB2312"/>
          <w:sz w:val="28"/>
          <w:szCs w:val="28"/>
        </w:rPr>
        <w:t>8.报告编制</w:t>
      </w:r>
      <w:bookmarkEnd w:id="44"/>
      <w:bookmarkEnd w:id="45"/>
    </w:p>
    <w:p w14:paraId="18B7378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报告编制分为调查方案编制和成果报告编制。</w:t>
      </w:r>
    </w:p>
    <w:p w14:paraId="47DA533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调查方案编制参照</w:t>
      </w:r>
      <w:r>
        <w:rPr>
          <w:rFonts w:ascii="仿宋_GB2312" w:hAnsi="仿宋_GB2312" w:eastAsia="仿宋_GB2312" w:cs="仿宋_GB2312"/>
          <w:sz w:val="28"/>
          <w:szCs w:val="28"/>
        </w:rPr>
        <w:t>附录</w:t>
      </w:r>
      <w:r>
        <w:rPr>
          <w:rFonts w:hint="eastAsia" w:ascii="仿宋_GB2312" w:hAnsi="仿宋_GB2312" w:eastAsia="仿宋_GB2312" w:cs="仿宋_GB2312"/>
          <w:sz w:val="28"/>
          <w:szCs w:val="28"/>
        </w:rPr>
        <w:t>A</w:t>
      </w:r>
      <w:r>
        <w:rPr>
          <w:rFonts w:ascii="仿宋_GB2312" w:hAnsi="仿宋_GB2312" w:eastAsia="仿宋_GB2312" w:cs="仿宋_GB2312"/>
          <w:sz w:val="28"/>
          <w:szCs w:val="28"/>
        </w:rPr>
        <w:t>（资料性）天然放射性环境调查调查方案编制要求</w:t>
      </w:r>
      <w:r>
        <w:rPr>
          <w:rFonts w:hint="eastAsia" w:ascii="仿宋_GB2312" w:hAnsi="仿宋_GB2312" w:eastAsia="仿宋_GB2312" w:cs="仿宋_GB2312"/>
          <w:sz w:val="28"/>
          <w:szCs w:val="28"/>
        </w:rPr>
        <w:t>。成果报告编制应满足</w:t>
      </w:r>
      <w:r>
        <w:rPr>
          <w:rFonts w:ascii="仿宋_GB2312" w:hAnsi="仿宋_GB2312" w:eastAsia="仿宋_GB2312" w:cs="仿宋_GB2312"/>
          <w:sz w:val="28"/>
          <w:szCs w:val="28"/>
        </w:rPr>
        <w:t>附录</w:t>
      </w:r>
      <w:r>
        <w:rPr>
          <w:rFonts w:hint="eastAsia" w:ascii="仿宋_GB2312" w:hAnsi="仿宋_GB2312" w:eastAsia="仿宋_GB2312" w:cs="仿宋_GB2312"/>
          <w:sz w:val="28"/>
          <w:szCs w:val="28"/>
        </w:rPr>
        <w:t>B</w:t>
      </w:r>
      <w:r>
        <w:rPr>
          <w:rFonts w:ascii="仿宋_GB2312" w:hAnsi="仿宋_GB2312" w:eastAsia="仿宋_GB2312" w:cs="仿宋_GB2312"/>
          <w:sz w:val="28"/>
          <w:szCs w:val="28"/>
        </w:rPr>
        <w:t>（资料性）天然放射性环境调查成果报告编制要求</w:t>
      </w:r>
      <w:r>
        <w:rPr>
          <w:rFonts w:hint="eastAsia" w:ascii="仿宋_GB2312" w:hAnsi="仿宋_GB2312" w:eastAsia="仿宋_GB2312" w:cs="仿宋_GB2312"/>
          <w:sz w:val="28"/>
          <w:szCs w:val="28"/>
        </w:rPr>
        <w:t>。内容主要是参考NB/T 20139-2012《核电厂环境放射性本底调查技术规范》、HJ</w:t>
      </w:r>
      <w:r>
        <w:rPr>
          <w:rFonts w:ascii="仿宋_GB2312" w:hAnsi="仿宋_GB2312" w:eastAsia="仿宋_GB2312" w:cs="仿宋_GB2312"/>
          <w:sz w:val="28"/>
          <w:szCs w:val="28"/>
        </w:rPr>
        <w:t xml:space="preserve"> 61-2021《</w:t>
      </w:r>
      <w:r>
        <w:rPr>
          <w:rFonts w:hint="eastAsia" w:ascii="仿宋_GB2312" w:hAnsi="仿宋_GB2312" w:eastAsia="仿宋_GB2312" w:cs="仿宋_GB2312"/>
          <w:sz w:val="28"/>
          <w:szCs w:val="28"/>
        </w:rPr>
        <w:t>辐射环境监测技术规范</w:t>
      </w:r>
      <w:r>
        <w:rPr>
          <w:rFonts w:ascii="仿宋_GB2312" w:hAnsi="仿宋_GB2312" w:eastAsia="仿宋_GB2312" w:cs="仿宋_GB2312"/>
          <w:sz w:val="28"/>
          <w:szCs w:val="28"/>
        </w:rPr>
        <w:t>》、DD2019-09《生态地质调查技术要求（</w:t>
      </w:r>
      <w:r>
        <w:rPr>
          <w:rFonts w:hint="eastAsia" w:ascii="仿宋_GB2312" w:hAnsi="仿宋_GB2312" w:eastAsia="仿宋_GB2312" w:cs="仿宋_GB2312"/>
          <w:sz w:val="28"/>
          <w:szCs w:val="28"/>
        </w:rPr>
        <w:t>1:50000</w:t>
      </w:r>
      <w:r>
        <w:rPr>
          <w:rFonts w:ascii="仿宋_GB2312" w:hAnsi="仿宋_GB2312" w:eastAsia="仿宋_GB2312" w:cs="仿宋_GB2312"/>
          <w:sz w:val="28"/>
          <w:szCs w:val="28"/>
        </w:rPr>
        <w:t>）（试行）》</w:t>
      </w:r>
      <w:r>
        <w:rPr>
          <w:rFonts w:hint="eastAsia" w:ascii="仿宋_GB2312" w:hAnsi="仿宋_GB2312" w:eastAsia="仿宋_GB2312" w:cs="仿宋_GB2312"/>
          <w:sz w:val="28"/>
          <w:szCs w:val="28"/>
        </w:rPr>
        <w:t>《中国环境天然放射性水平》（罗国桢等，中国原子能出版社，2015）《电离辐射环境监测与评价》（国家环境保护总局辐射环境监测技术中心组织编写，潘自强主编，2007）《全国辐射环境质量报告》以及宁夏核地质调查院和宁夏核与辐射安全中心近年来开展的各类天然放射性环境调查与评价工作实践中使用的各类调查方案和成果报告总结归纳整理而成的。</w:t>
      </w:r>
    </w:p>
    <w:p w14:paraId="1DB84E83">
      <w:pPr>
        <w:spacing w:line="560" w:lineRule="exact"/>
        <w:ind w:firstLine="560" w:firstLineChars="200"/>
        <w:outlineLvl w:val="1"/>
        <w:rPr>
          <w:rFonts w:ascii="仿宋_GB2312" w:hAnsi="仿宋_GB2312" w:eastAsia="仿宋_GB2312" w:cs="仿宋_GB2312"/>
          <w:sz w:val="28"/>
          <w:szCs w:val="28"/>
        </w:rPr>
      </w:pPr>
      <w:bookmarkStart w:id="46" w:name="_Toc203050060"/>
      <w:bookmarkStart w:id="47" w:name="_Toc199516630"/>
      <w:r>
        <w:rPr>
          <w:rFonts w:hint="eastAsia" w:ascii="仿宋_GB2312" w:hAnsi="仿宋_GB2312" w:eastAsia="仿宋_GB2312" w:cs="仿宋_GB2312"/>
          <w:sz w:val="28"/>
          <w:szCs w:val="28"/>
        </w:rPr>
        <w:t>9.质量保证</w:t>
      </w:r>
      <w:bookmarkEnd w:id="46"/>
      <w:bookmarkEnd w:id="47"/>
    </w:p>
    <w:p w14:paraId="42A8BB07">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质量保证</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明确质量保证的执行依据</w:t>
      </w:r>
      <w:r>
        <w:rPr>
          <w:rFonts w:hint="eastAsia" w:ascii="仿宋_GB2312" w:hAnsi="仿宋_GB2312" w:eastAsia="仿宋_GB2312" w:cs="仿宋_GB2312"/>
          <w:sz w:val="28"/>
          <w:szCs w:val="28"/>
        </w:rPr>
        <w:t>、检验检测</w:t>
      </w:r>
      <w:r>
        <w:rPr>
          <w:rFonts w:ascii="仿宋_GB2312" w:hAnsi="仿宋_GB2312" w:eastAsia="仿宋_GB2312" w:cs="仿宋_GB2312"/>
          <w:sz w:val="28"/>
          <w:szCs w:val="28"/>
        </w:rPr>
        <w:t>方法和手段等</w:t>
      </w:r>
      <w:r>
        <w:rPr>
          <w:rFonts w:hint="eastAsia" w:ascii="仿宋_GB2312" w:hAnsi="仿宋_GB2312" w:eastAsia="仿宋_GB2312" w:cs="仿宋_GB2312"/>
          <w:sz w:val="28"/>
          <w:szCs w:val="28"/>
        </w:rPr>
        <w:t>溯源要求，参考</w:t>
      </w:r>
      <w:r>
        <w:rPr>
          <w:rFonts w:ascii="仿宋_GB2312" w:hAnsi="仿宋_GB2312" w:eastAsia="仿宋_GB2312" w:cs="仿宋_GB2312"/>
          <w:sz w:val="28"/>
          <w:szCs w:val="28"/>
        </w:rPr>
        <w:t>GB 8999</w:t>
      </w:r>
      <w:r>
        <w:rPr>
          <w:rFonts w:hint="eastAsia" w:ascii="仿宋_GB2312" w:hAnsi="仿宋_GB2312" w:eastAsia="仿宋_GB2312" w:cs="仿宋_GB2312"/>
          <w:sz w:val="28"/>
          <w:szCs w:val="28"/>
        </w:rPr>
        <w:t>《电离辐射监测质量保证通用要求》、HJ</w:t>
      </w:r>
      <w:r>
        <w:rPr>
          <w:rFonts w:ascii="仿宋_GB2312" w:hAnsi="仿宋_GB2312" w:eastAsia="仿宋_GB2312" w:cs="仿宋_GB2312"/>
          <w:sz w:val="28"/>
          <w:szCs w:val="28"/>
        </w:rPr>
        <w:t xml:space="preserve"> 61-2021《</w:t>
      </w:r>
      <w:r>
        <w:rPr>
          <w:rFonts w:hint="eastAsia" w:ascii="仿宋_GB2312" w:hAnsi="仿宋_GB2312" w:eastAsia="仿宋_GB2312" w:cs="仿宋_GB2312"/>
          <w:sz w:val="28"/>
          <w:szCs w:val="28"/>
        </w:rPr>
        <w:t>辐射环境监测技术规范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NB/T 20139-2012《核电厂环境放射性本底调查技术规范》《中国环境天然放射性水平》（罗国桢等，中国原子能出版社，2015）《电离辐射环境监测与评价》（国家环境保护总局辐射环境监测技术中心组织编写，潘自强主编，2007）以及宁夏核地质调查院调查院对放射性环境调查项目质量检查的相关规定以及《辐射环境监测机构资质管理办法》的要求，结合《宁夏回族自治区银川市（三区二县）放射性环境背景调查》《石嘴山市环境天然放射性水平调查项目》《吴忠市利通-青铜峡地区环境天然放射性水平调查项目》等项目中质量控制经验归纳总结而成，总体上把握质量保证的要点，确保野外工作和室内工作的严谨精准，确保放射性环境调查工作质量。</w:t>
      </w:r>
    </w:p>
    <w:p w14:paraId="6F4F002C">
      <w:pPr>
        <w:spacing w:line="560" w:lineRule="exact"/>
        <w:ind w:firstLine="640" w:firstLineChars="200"/>
        <w:rPr>
          <w:rFonts w:ascii="仿宋_GB2312" w:hAnsi="仿宋_GB2312" w:eastAsia="仿宋_GB2312" w:cs="仿宋_GB2312"/>
          <w:sz w:val="32"/>
          <w:szCs w:val="32"/>
        </w:rPr>
      </w:pPr>
    </w:p>
    <w:p w14:paraId="44C67AD1">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48" w:name="_Toc203050062"/>
      <w:r>
        <w:rPr>
          <w:rFonts w:ascii="Times New Roman" w:hAnsi="Times New Roman" w:eastAsia="黑体"/>
          <w:b w:val="0"/>
          <w:bCs/>
          <w:kern w:val="2"/>
          <w:sz w:val="28"/>
          <w:szCs w:val="28"/>
        </w:rPr>
        <w:t>（二）主要技术指标、参数、试验验证的论述</w:t>
      </w:r>
      <w:bookmarkEnd w:id="48"/>
      <w:r>
        <w:rPr>
          <w:rFonts w:ascii="Times New Roman" w:hAnsi="Times New Roman" w:eastAsia="黑体"/>
          <w:b w:val="0"/>
          <w:bCs/>
          <w:kern w:val="2"/>
          <w:sz w:val="28"/>
          <w:szCs w:val="28"/>
        </w:rPr>
        <w:t xml:space="preserve"> </w:t>
      </w:r>
    </w:p>
    <w:p w14:paraId="0D626DE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标准起草单位自治区核调院和自治区核与辐射安全中心，在过去2018年至2024年开展了多项天然放射性环境调查工作，对标准设定的调查内容、测量及采样分析方法均进行了验证。</w:t>
      </w:r>
    </w:p>
    <w:p w14:paraId="141E354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以2022年至2023年开展的中卫地区环境天然放射性水平调查项目（项目编号NXCZ20220207）为例，对中卫部分地区约2519.5km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开展了天然放射性环境调查工作。其中陆地γ辐射空气吸收剂量率测量网格大小为0.5×0.5km,测量时对同一网格内的不同类型环境分别进行了测量；土壤氡和环境空气氡测量网格大小设置为1.0×1.0km，样品采集分析没有严格依照网格大小开展，仅在调查区范围内采集了岩石、土壤、煤及固体废弃物等有代表性的固体样品120余件，有针对性的采集民用井水、生活用水水源及天然水体水样，共采集水样60件，生物样仅采集了玉米35份样品。</w:t>
      </w:r>
    </w:p>
    <w:p w14:paraId="65EF4EF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中陆地γ辐射空气吸收剂量率测量结果经过数据预处理，最终结果符合正态分布，调查结果与《中国环境天然放射性水平调查研究》（1983-1990年）结果较为接近，也与2021年全国辐射环境质量报告显示的宁夏回族自治区陆地γ辐射空气吸收剂量率接近，处于合理范围。</w:t>
      </w:r>
    </w:p>
    <w:p w14:paraId="28B46572">
      <w:pPr>
        <w:jc w:val="center"/>
      </w:pPr>
    </w:p>
    <w:p w14:paraId="27F95AD1">
      <w:pPr>
        <w:jc w:val="center"/>
      </w:pPr>
      <w:r>
        <w:drawing>
          <wp:inline distT="0" distB="0" distL="0" distR="0">
            <wp:extent cx="5305425" cy="1513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313962" cy="1515728"/>
                    </a:xfrm>
                    <a:prstGeom prst="rect">
                      <a:avLst/>
                    </a:prstGeom>
                  </pic:spPr>
                </pic:pic>
              </a:graphicData>
            </a:graphic>
          </wp:inline>
        </w:drawing>
      </w:r>
    </w:p>
    <w:p w14:paraId="592134C1">
      <w:pPr>
        <w:jc w:val="center"/>
      </w:pPr>
      <w:r>
        <w:drawing>
          <wp:inline distT="0" distB="0" distL="0" distR="0">
            <wp:extent cx="4729480" cy="36106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rcRect t="1632" b="1810"/>
                    <a:stretch>
                      <a:fillRect/>
                    </a:stretch>
                  </pic:blipFill>
                  <pic:spPr>
                    <a:xfrm>
                      <a:off x="0" y="0"/>
                      <a:ext cx="4747420" cy="3624171"/>
                    </a:xfrm>
                    <a:prstGeom prst="rect">
                      <a:avLst/>
                    </a:prstGeom>
                    <a:ln>
                      <a:noFill/>
                    </a:ln>
                  </pic:spPr>
                </pic:pic>
              </a:graphicData>
            </a:graphic>
          </wp:inline>
        </w:drawing>
      </w:r>
    </w:p>
    <w:p w14:paraId="2BA47D7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调查过程全过程中现场检测人员严格按照规定格式记录了现场检测信息，包括了项目名称、日期、气象信息、点位坐标、仪器设备型号及编号、检测人员及校核人员等内容，完全符合HJ 1157-2021的工作要求。</w:t>
      </w:r>
    </w:p>
    <w:p w14:paraId="606EEB4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固体物质放射性核素活度测量结果显示：</w:t>
      </w:r>
    </w:p>
    <w:p w14:paraId="1A456FA5">
      <w:pPr>
        <w:jc w:val="center"/>
      </w:pPr>
      <w:r>
        <w:drawing>
          <wp:inline distT="0" distB="0" distL="114300" distR="114300">
            <wp:extent cx="5611495" cy="2667000"/>
            <wp:effectExtent l="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611495" cy="2667000"/>
                    </a:xfrm>
                    <a:prstGeom prst="rect">
                      <a:avLst/>
                    </a:prstGeom>
                    <a:noFill/>
                    <a:ln>
                      <a:noFill/>
                    </a:ln>
                  </pic:spPr>
                </pic:pic>
              </a:graphicData>
            </a:graphic>
          </wp:inline>
        </w:drawing>
      </w:r>
    </w:p>
    <w:p w14:paraId="74D8C6C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调查区土壤中放射性核素活度浓度与便携式多道γ能谱仪在同点位检测所得的地表放射性核素活度浓度分布特征基本一致，进一步验证了测量结果的可靠性。</w:t>
      </w:r>
    </w:p>
    <w:p w14:paraId="3B4EEF8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谷物中放射性核素活度浓度的检测结果显示：</w:t>
      </w:r>
    </w:p>
    <w:p w14:paraId="5E48C8AA">
      <w:pPr>
        <w:jc w:val="center"/>
      </w:pPr>
      <w:r>
        <w:drawing>
          <wp:inline distT="0" distB="0" distL="114300" distR="114300">
            <wp:extent cx="5610860" cy="1901825"/>
            <wp:effectExtent l="0" t="0" r="889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610860" cy="1901825"/>
                    </a:xfrm>
                    <a:prstGeom prst="rect">
                      <a:avLst/>
                    </a:prstGeom>
                    <a:noFill/>
                    <a:ln>
                      <a:noFill/>
                    </a:ln>
                  </pic:spPr>
                </pic:pic>
              </a:graphicData>
            </a:graphic>
          </wp:inline>
        </w:drawing>
      </w:r>
    </w:p>
    <w:tbl>
      <w:tblPr>
        <w:tblStyle w:val="15"/>
        <w:tblW w:w="6168"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912"/>
        <w:gridCol w:w="939"/>
        <w:gridCol w:w="1244"/>
        <w:gridCol w:w="1373"/>
        <w:gridCol w:w="1166"/>
      </w:tblGrid>
      <w:tr w14:paraId="6033A88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294716C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序号</w:t>
            </w:r>
          </w:p>
        </w:tc>
        <w:tc>
          <w:tcPr>
            <w:tcW w:w="912" w:type="dxa"/>
            <w:vMerge w:val="restart"/>
            <w:tcBorders>
              <w:top w:val="single" w:color="auto" w:sz="4" w:space="0"/>
              <w:left w:val="single" w:color="auto" w:sz="4" w:space="0"/>
              <w:bottom w:val="single" w:color="auto" w:sz="4" w:space="0"/>
              <w:right w:val="single" w:color="auto" w:sz="4" w:space="0"/>
            </w:tcBorders>
            <w:vAlign w:val="center"/>
          </w:tcPr>
          <w:p w14:paraId="27425F4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样品原号</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14:paraId="384F335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样品类别</w:t>
            </w:r>
          </w:p>
        </w:tc>
        <w:tc>
          <w:tcPr>
            <w:tcW w:w="3783" w:type="dxa"/>
            <w:gridSpan w:val="3"/>
            <w:tcBorders>
              <w:top w:val="single" w:color="auto" w:sz="4" w:space="0"/>
              <w:left w:val="single" w:color="auto" w:sz="4" w:space="0"/>
              <w:bottom w:val="single" w:color="auto" w:sz="4" w:space="0"/>
              <w:right w:val="single" w:color="auto" w:sz="4" w:space="0"/>
            </w:tcBorders>
            <w:vAlign w:val="center"/>
          </w:tcPr>
          <w:p w14:paraId="5170673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分析结果</w:t>
            </w:r>
          </w:p>
        </w:tc>
      </w:tr>
      <w:tr w14:paraId="603F09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38D61CB0">
            <w:pPr>
              <w:widowControl/>
              <w:jc w:val="center"/>
              <w:textAlignment w:val="bottom"/>
              <w:rPr>
                <w:rFonts w:ascii="Times New Roman" w:hAnsi="Times New Roman" w:cs="Times New Roman"/>
                <w:kern w:val="0"/>
                <w:sz w:val="18"/>
                <w:szCs w:val="18"/>
              </w:rPr>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09176242">
            <w:pPr>
              <w:widowControl/>
              <w:jc w:val="center"/>
              <w:textAlignment w:val="bottom"/>
              <w:rPr>
                <w:rFonts w:ascii="Times New Roman" w:hAnsi="Times New Roman" w:cs="Times New Roman"/>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14:paraId="61213B0B">
            <w:pPr>
              <w:widowControl/>
              <w:jc w:val="center"/>
              <w:textAlignment w:val="bottom"/>
              <w:rPr>
                <w:rFonts w:ascii="Times New Roman" w:hAnsi="Times New Roman" w:cs="Times New Roman"/>
                <w:kern w:val="0"/>
                <w:sz w:val="18"/>
                <w:szCs w:val="18"/>
              </w:rPr>
            </w:pPr>
          </w:p>
        </w:tc>
        <w:tc>
          <w:tcPr>
            <w:tcW w:w="1244" w:type="dxa"/>
            <w:tcBorders>
              <w:top w:val="single" w:color="auto" w:sz="4" w:space="0"/>
              <w:left w:val="single" w:color="auto" w:sz="4" w:space="0"/>
              <w:bottom w:val="single" w:color="auto" w:sz="4" w:space="0"/>
              <w:right w:val="single" w:color="auto" w:sz="4" w:space="0"/>
            </w:tcBorders>
            <w:vAlign w:val="center"/>
          </w:tcPr>
          <w:p w14:paraId="52E2F042">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总铀(mg/kg)</w:t>
            </w:r>
          </w:p>
        </w:tc>
        <w:tc>
          <w:tcPr>
            <w:tcW w:w="1373" w:type="dxa"/>
            <w:tcBorders>
              <w:top w:val="single" w:color="auto" w:sz="4" w:space="0"/>
              <w:left w:val="single" w:color="auto" w:sz="4" w:space="0"/>
              <w:bottom w:val="single" w:color="auto" w:sz="4" w:space="0"/>
              <w:right w:val="single" w:color="auto" w:sz="4" w:space="0"/>
            </w:tcBorders>
            <w:vAlign w:val="center"/>
          </w:tcPr>
          <w:p w14:paraId="6727F6F4">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226Ra(Bq/kg)</w:t>
            </w:r>
          </w:p>
        </w:tc>
        <w:tc>
          <w:tcPr>
            <w:tcW w:w="1166" w:type="dxa"/>
            <w:tcBorders>
              <w:top w:val="single" w:color="auto" w:sz="4" w:space="0"/>
              <w:left w:val="single" w:color="auto" w:sz="4" w:space="0"/>
              <w:bottom w:val="single" w:color="auto" w:sz="4" w:space="0"/>
              <w:right w:val="single" w:color="auto" w:sz="4" w:space="0"/>
            </w:tcBorders>
            <w:vAlign w:val="center"/>
          </w:tcPr>
          <w:p w14:paraId="0339ECD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232Th((mg/kg)</w:t>
            </w:r>
          </w:p>
        </w:tc>
      </w:tr>
      <w:tr w14:paraId="48EE3A0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D61616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w:t>
            </w:r>
          </w:p>
        </w:tc>
        <w:tc>
          <w:tcPr>
            <w:tcW w:w="912" w:type="dxa"/>
            <w:tcBorders>
              <w:top w:val="single" w:color="auto" w:sz="4" w:space="0"/>
              <w:left w:val="single" w:color="auto" w:sz="4" w:space="0"/>
              <w:bottom w:val="single" w:color="auto" w:sz="4" w:space="0"/>
              <w:right w:val="single" w:color="auto" w:sz="4" w:space="0"/>
            </w:tcBorders>
            <w:vAlign w:val="center"/>
          </w:tcPr>
          <w:p w14:paraId="4BE3475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S-01</w:t>
            </w:r>
          </w:p>
        </w:tc>
        <w:tc>
          <w:tcPr>
            <w:tcW w:w="939" w:type="dxa"/>
            <w:tcBorders>
              <w:top w:val="single" w:color="auto" w:sz="4" w:space="0"/>
              <w:left w:val="single" w:color="auto" w:sz="4" w:space="0"/>
              <w:bottom w:val="single" w:color="auto" w:sz="4" w:space="0"/>
              <w:right w:val="single" w:color="auto" w:sz="4" w:space="0"/>
            </w:tcBorders>
            <w:vAlign w:val="center"/>
          </w:tcPr>
          <w:p w14:paraId="6934F66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2FDCA0EF">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3E16C56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0.096 </w:t>
            </w:r>
          </w:p>
        </w:tc>
        <w:tc>
          <w:tcPr>
            <w:tcW w:w="1166" w:type="dxa"/>
            <w:tcBorders>
              <w:top w:val="single" w:color="auto" w:sz="4" w:space="0"/>
              <w:left w:val="single" w:color="auto" w:sz="4" w:space="0"/>
              <w:bottom w:val="single" w:color="auto" w:sz="4" w:space="0"/>
              <w:right w:val="single" w:color="auto" w:sz="4" w:space="0"/>
            </w:tcBorders>
            <w:vAlign w:val="center"/>
          </w:tcPr>
          <w:p w14:paraId="0AA0767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0.052</w:t>
            </w:r>
          </w:p>
        </w:tc>
      </w:tr>
      <w:tr w14:paraId="4EE927E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63412B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w:t>
            </w:r>
          </w:p>
        </w:tc>
        <w:tc>
          <w:tcPr>
            <w:tcW w:w="912" w:type="dxa"/>
            <w:tcBorders>
              <w:top w:val="single" w:color="auto" w:sz="4" w:space="0"/>
              <w:left w:val="single" w:color="auto" w:sz="4" w:space="0"/>
              <w:bottom w:val="single" w:color="auto" w:sz="4" w:space="0"/>
              <w:right w:val="single" w:color="auto" w:sz="4" w:space="0"/>
            </w:tcBorders>
            <w:vAlign w:val="center"/>
          </w:tcPr>
          <w:p w14:paraId="46BF45A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S-02</w:t>
            </w:r>
          </w:p>
        </w:tc>
        <w:tc>
          <w:tcPr>
            <w:tcW w:w="939" w:type="dxa"/>
            <w:tcBorders>
              <w:top w:val="single" w:color="auto" w:sz="4" w:space="0"/>
              <w:left w:val="single" w:color="auto" w:sz="4" w:space="0"/>
              <w:bottom w:val="single" w:color="auto" w:sz="4" w:space="0"/>
              <w:right w:val="single" w:color="auto" w:sz="4" w:space="0"/>
            </w:tcBorders>
            <w:vAlign w:val="center"/>
          </w:tcPr>
          <w:p w14:paraId="32E0210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5B5F47E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7156649F">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ND</w:t>
            </w:r>
          </w:p>
        </w:tc>
        <w:tc>
          <w:tcPr>
            <w:tcW w:w="1166" w:type="dxa"/>
            <w:tcBorders>
              <w:top w:val="single" w:color="auto" w:sz="4" w:space="0"/>
              <w:left w:val="single" w:color="auto" w:sz="4" w:space="0"/>
              <w:bottom w:val="single" w:color="auto" w:sz="4" w:space="0"/>
              <w:right w:val="single" w:color="auto" w:sz="4" w:space="0"/>
            </w:tcBorders>
            <w:vAlign w:val="center"/>
          </w:tcPr>
          <w:p w14:paraId="1A5F23B2">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0.032</w:t>
            </w:r>
          </w:p>
        </w:tc>
      </w:tr>
      <w:tr w14:paraId="44F03DE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1AD74C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w:t>
            </w:r>
          </w:p>
        </w:tc>
        <w:tc>
          <w:tcPr>
            <w:tcW w:w="912" w:type="dxa"/>
            <w:tcBorders>
              <w:top w:val="single" w:color="auto" w:sz="4" w:space="0"/>
              <w:left w:val="single" w:color="auto" w:sz="4" w:space="0"/>
              <w:bottom w:val="single" w:color="auto" w:sz="4" w:space="0"/>
              <w:right w:val="single" w:color="auto" w:sz="4" w:space="0"/>
            </w:tcBorders>
            <w:vAlign w:val="center"/>
          </w:tcPr>
          <w:p w14:paraId="5665F3A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S-03</w:t>
            </w:r>
          </w:p>
        </w:tc>
        <w:tc>
          <w:tcPr>
            <w:tcW w:w="939" w:type="dxa"/>
            <w:tcBorders>
              <w:top w:val="single" w:color="auto" w:sz="4" w:space="0"/>
              <w:left w:val="single" w:color="auto" w:sz="4" w:space="0"/>
              <w:bottom w:val="single" w:color="auto" w:sz="4" w:space="0"/>
              <w:right w:val="single" w:color="auto" w:sz="4" w:space="0"/>
            </w:tcBorders>
            <w:vAlign w:val="center"/>
          </w:tcPr>
          <w:p w14:paraId="2040FCB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782C21B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0.0008 </w:t>
            </w:r>
          </w:p>
        </w:tc>
        <w:tc>
          <w:tcPr>
            <w:tcW w:w="1373" w:type="dxa"/>
            <w:tcBorders>
              <w:top w:val="single" w:color="auto" w:sz="4" w:space="0"/>
              <w:left w:val="single" w:color="auto" w:sz="4" w:space="0"/>
              <w:bottom w:val="single" w:color="auto" w:sz="4" w:space="0"/>
              <w:right w:val="single" w:color="auto" w:sz="4" w:space="0"/>
            </w:tcBorders>
            <w:vAlign w:val="center"/>
          </w:tcPr>
          <w:p w14:paraId="50175C6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1.150 </w:t>
            </w:r>
          </w:p>
        </w:tc>
        <w:tc>
          <w:tcPr>
            <w:tcW w:w="1166" w:type="dxa"/>
            <w:tcBorders>
              <w:top w:val="single" w:color="auto" w:sz="4" w:space="0"/>
              <w:left w:val="single" w:color="auto" w:sz="4" w:space="0"/>
              <w:bottom w:val="single" w:color="auto" w:sz="4" w:space="0"/>
              <w:right w:val="single" w:color="auto" w:sz="4" w:space="0"/>
            </w:tcBorders>
            <w:vAlign w:val="center"/>
          </w:tcPr>
          <w:p w14:paraId="2B3FAD8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0.02</w:t>
            </w:r>
          </w:p>
        </w:tc>
      </w:tr>
      <w:tr w14:paraId="3F46BA9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F82988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4</w:t>
            </w:r>
          </w:p>
        </w:tc>
        <w:tc>
          <w:tcPr>
            <w:tcW w:w="912" w:type="dxa"/>
            <w:tcBorders>
              <w:top w:val="single" w:color="auto" w:sz="4" w:space="0"/>
              <w:left w:val="single" w:color="auto" w:sz="4" w:space="0"/>
              <w:bottom w:val="single" w:color="auto" w:sz="4" w:space="0"/>
              <w:right w:val="single" w:color="auto" w:sz="4" w:space="0"/>
            </w:tcBorders>
            <w:vAlign w:val="center"/>
          </w:tcPr>
          <w:p w14:paraId="60238C2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S-04</w:t>
            </w:r>
          </w:p>
        </w:tc>
        <w:tc>
          <w:tcPr>
            <w:tcW w:w="939" w:type="dxa"/>
            <w:tcBorders>
              <w:top w:val="single" w:color="auto" w:sz="4" w:space="0"/>
              <w:left w:val="single" w:color="auto" w:sz="4" w:space="0"/>
              <w:bottom w:val="single" w:color="auto" w:sz="4" w:space="0"/>
              <w:right w:val="single" w:color="auto" w:sz="4" w:space="0"/>
            </w:tcBorders>
            <w:vAlign w:val="center"/>
          </w:tcPr>
          <w:p w14:paraId="4EC484B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6424446F">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5E623C0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0.975 </w:t>
            </w:r>
          </w:p>
        </w:tc>
        <w:tc>
          <w:tcPr>
            <w:tcW w:w="1166" w:type="dxa"/>
            <w:tcBorders>
              <w:top w:val="single" w:color="auto" w:sz="4" w:space="0"/>
              <w:left w:val="single" w:color="auto" w:sz="4" w:space="0"/>
              <w:bottom w:val="single" w:color="auto" w:sz="4" w:space="0"/>
              <w:right w:val="single" w:color="auto" w:sz="4" w:space="0"/>
            </w:tcBorders>
            <w:vAlign w:val="center"/>
          </w:tcPr>
          <w:p w14:paraId="79A4B87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38B3BC7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7707C8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5</w:t>
            </w:r>
          </w:p>
        </w:tc>
        <w:tc>
          <w:tcPr>
            <w:tcW w:w="912" w:type="dxa"/>
            <w:tcBorders>
              <w:top w:val="single" w:color="auto" w:sz="4" w:space="0"/>
              <w:left w:val="single" w:color="auto" w:sz="4" w:space="0"/>
              <w:bottom w:val="single" w:color="auto" w:sz="4" w:space="0"/>
              <w:right w:val="single" w:color="auto" w:sz="4" w:space="0"/>
            </w:tcBorders>
            <w:vAlign w:val="center"/>
          </w:tcPr>
          <w:p w14:paraId="5166532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S-05</w:t>
            </w:r>
          </w:p>
        </w:tc>
        <w:tc>
          <w:tcPr>
            <w:tcW w:w="939" w:type="dxa"/>
            <w:tcBorders>
              <w:top w:val="single" w:color="auto" w:sz="4" w:space="0"/>
              <w:left w:val="single" w:color="auto" w:sz="4" w:space="0"/>
              <w:bottom w:val="single" w:color="auto" w:sz="4" w:space="0"/>
              <w:right w:val="single" w:color="auto" w:sz="4" w:space="0"/>
            </w:tcBorders>
            <w:vAlign w:val="center"/>
          </w:tcPr>
          <w:p w14:paraId="5D9118F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2278C4F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0E28A81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0.157 </w:t>
            </w:r>
          </w:p>
        </w:tc>
        <w:tc>
          <w:tcPr>
            <w:tcW w:w="1166" w:type="dxa"/>
            <w:tcBorders>
              <w:top w:val="single" w:color="auto" w:sz="4" w:space="0"/>
              <w:left w:val="single" w:color="auto" w:sz="4" w:space="0"/>
              <w:bottom w:val="single" w:color="auto" w:sz="4" w:space="0"/>
              <w:right w:val="single" w:color="auto" w:sz="4" w:space="0"/>
            </w:tcBorders>
            <w:vAlign w:val="center"/>
          </w:tcPr>
          <w:p w14:paraId="48C495C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0.015</w:t>
            </w:r>
          </w:p>
        </w:tc>
      </w:tr>
      <w:tr w14:paraId="275DE5C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25185F4">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6</w:t>
            </w:r>
          </w:p>
        </w:tc>
        <w:tc>
          <w:tcPr>
            <w:tcW w:w="912" w:type="dxa"/>
            <w:tcBorders>
              <w:top w:val="single" w:color="auto" w:sz="4" w:space="0"/>
              <w:left w:val="single" w:color="auto" w:sz="4" w:space="0"/>
              <w:bottom w:val="single" w:color="auto" w:sz="4" w:space="0"/>
              <w:right w:val="single" w:color="auto" w:sz="4" w:space="0"/>
            </w:tcBorders>
            <w:vAlign w:val="center"/>
          </w:tcPr>
          <w:p w14:paraId="6C8CDD5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S-06</w:t>
            </w:r>
          </w:p>
        </w:tc>
        <w:tc>
          <w:tcPr>
            <w:tcW w:w="939" w:type="dxa"/>
            <w:tcBorders>
              <w:top w:val="single" w:color="auto" w:sz="4" w:space="0"/>
              <w:left w:val="single" w:color="auto" w:sz="4" w:space="0"/>
              <w:bottom w:val="single" w:color="auto" w:sz="4" w:space="0"/>
              <w:right w:val="single" w:color="auto" w:sz="4" w:space="0"/>
            </w:tcBorders>
            <w:vAlign w:val="center"/>
          </w:tcPr>
          <w:p w14:paraId="731474E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72D5862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0489587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2413D1A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04C0C3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843F5E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7</w:t>
            </w:r>
          </w:p>
        </w:tc>
        <w:tc>
          <w:tcPr>
            <w:tcW w:w="912" w:type="dxa"/>
            <w:tcBorders>
              <w:top w:val="single" w:color="auto" w:sz="4" w:space="0"/>
              <w:left w:val="single" w:color="auto" w:sz="4" w:space="0"/>
              <w:bottom w:val="single" w:color="auto" w:sz="4" w:space="0"/>
              <w:right w:val="single" w:color="auto" w:sz="4" w:space="0"/>
            </w:tcBorders>
            <w:vAlign w:val="center"/>
          </w:tcPr>
          <w:p w14:paraId="423D822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S-07</w:t>
            </w:r>
          </w:p>
        </w:tc>
        <w:tc>
          <w:tcPr>
            <w:tcW w:w="939" w:type="dxa"/>
            <w:tcBorders>
              <w:top w:val="single" w:color="auto" w:sz="4" w:space="0"/>
              <w:left w:val="single" w:color="auto" w:sz="4" w:space="0"/>
              <w:bottom w:val="single" w:color="auto" w:sz="4" w:space="0"/>
              <w:right w:val="single" w:color="auto" w:sz="4" w:space="0"/>
            </w:tcBorders>
            <w:vAlign w:val="center"/>
          </w:tcPr>
          <w:p w14:paraId="4CB5CBF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755F4B8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63E150B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0.411 </w:t>
            </w:r>
          </w:p>
        </w:tc>
        <w:tc>
          <w:tcPr>
            <w:tcW w:w="1166" w:type="dxa"/>
            <w:tcBorders>
              <w:top w:val="single" w:color="auto" w:sz="4" w:space="0"/>
              <w:left w:val="single" w:color="auto" w:sz="4" w:space="0"/>
              <w:bottom w:val="single" w:color="auto" w:sz="4" w:space="0"/>
              <w:right w:val="single" w:color="auto" w:sz="4" w:space="0"/>
            </w:tcBorders>
            <w:vAlign w:val="center"/>
          </w:tcPr>
          <w:p w14:paraId="55E31C47">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56B7829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223B06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8</w:t>
            </w:r>
          </w:p>
        </w:tc>
        <w:tc>
          <w:tcPr>
            <w:tcW w:w="912" w:type="dxa"/>
            <w:tcBorders>
              <w:top w:val="single" w:color="auto" w:sz="4" w:space="0"/>
              <w:left w:val="single" w:color="auto" w:sz="4" w:space="0"/>
              <w:bottom w:val="single" w:color="auto" w:sz="4" w:space="0"/>
              <w:right w:val="single" w:color="auto" w:sz="4" w:space="0"/>
            </w:tcBorders>
            <w:vAlign w:val="center"/>
          </w:tcPr>
          <w:p w14:paraId="5E32B2E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S-08</w:t>
            </w:r>
          </w:p>
        </w:tc>
        <w:tc>
          <w:tcPr>
            <w:tcW w:w="939" w:type="dxa"/>
            <w:tcBorders>
              <w:top w:val="single" w:color="auto" w:sz="4" w:space="0"/>
              <w:left w:val="single" w:color="auto" w:sz="4" w:space="0"/>
              <w:bottom w:val="single" w:color="auto" w:sz="4" w:space="0"/>
              <w:right w:val="single" w:color="auto" w:sz="4" w:space="0"/>
            </w:tcBorders>
            <w:vAlign w:val="center"/>
          </w:tcPr>
          <w:p w14:paraId="5A0672A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446A557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3E5E021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0.343 </w:t>
            </w:r>
          </w:p>
        </w:tc>
        <w:tc>
          <w:tcPr>
            <w:tcW w:w="1166" w:type="dxa"/>
            <w:tcBorders>
              <w:top w:val="single" w:color="auto" w:sz="4" w:space="0"/>
              <w:left w:val="single" w:color="auto" w:sz="4" w:space="0"/>
              <w:bottom w:val="single" w:color="auto" w:sz="4" w:space="0"/>
              <w:right w:val="single" w:color="auto" w:sz="4" w:space="0"/>
            </w:tcBorders>
            <w:vAlign w:val="center"/>
          </w:tcPr>
          <w:p w14:paraId="3783CF6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0.014</w:t>
            </w:r>
          </w:p>
        </w:tc>
      </w:tr>
      <w:tr w14:paraId="2064090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919F09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9</w:t>
            </w:r>
          </w:p>
        </w:tc>
        <w:tc>
          <w:tcPr>
            <w:tcW w:w="912" w:type="dxa"/>
            <w:tcBorders>
              <w:top w:val="single" w:color="auto" w:sz="4" w:space="0"/>
              <w:left w:val="single" w:color="auto" w:sz="4" w:space="0"/>
              <w:bottom w:val="single" w:color="auto" w:sz="4" w:space="0"/>
              <w:right w:val="single" w:color="auto" w:sz="4" w:space="0"/>
            </w:tcBorders>
            <w:vAlign w:val="center"/>
          </w:tcPr>
          <w:p w14:paraId="532E9B0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S-09</w:t>
            </w:r>
          </w:p>
        </w:tc>
        <w:tc>
          <w:tcPr>
            <w:tcW w:w="939" w:type="dxa"/>
            <w:tcBorders>
              <w:top w:val="single" w:color="auto" w:sz="4" w:space="0"/>
              <w:left w:val="single" w:color="auto" w:sz="4" w:space="0"/>
              <w:bottom w:val="single" w:color="auto" w:sz="4" w:space="0"/>
              <w:right w:val="single" w:color="auto" w:sz="4" w:space="0"/>
            </w:tcBorders>
            <w:vAlign w:val="center"/>
          </w:tcPr>
          <w:p w14:paraId="3DFD554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ABD251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0.0008 </w:t>
            </w:r>
          </w:p>
        </w:tc>
        <w:tc>
          <w:tcPr>
            <w:tcW w:w="1373" w:type="dxa"/>
            <w:tcBorders>
              <w:top w:val="single" w:color="auto" w:sz="4" w:space="0"/>
              <w:left w:val="single" w:color="auto" w:sz="4" w:space="0"/>
              <w:bottom w:val="single" w:color="auto" w:sz="4" w:space="0"/>
              <w:right w:val="single" w:color="auto" w:sz="4" w:space="0"/>
            </w:tcBorders>
            <w:vAlign w:val="center"/>
          </w:tcPr>
          <w:p w14:paraId="0544A1D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3501C80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0.02</w:t>
            </w:r>
          </w:p>
        </w:tc>
      </w:tr>
      <w:tr w14:paraId="1947DC9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8BBA39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912" w:type="dxa"/>
            <w:tcBorders>
              <w:top w:val="single" w:color="auto" w:sz="4" w:space="0"/>
              <w:left w:val="single" w:color="auto" w:sz="4" w:space="0"/>
              <w:bottom w:val="single" w:color="auto" w:sz="4" w:space="0"/>
              <w:right w:val="single" w:color="auto" w:sz="4" w:space="0"/>
            </w:tcBorders>
            <w:vAlign w:val="center"/>
          </w:tcPr>
          <w:p w14:paraId="117ED0D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S-10</w:t>
            </w:r>
          </w:p>
        </w:tc>
        <w:tc>
          <w:tcPr>
            <w:tcW w:w="939" w:type="dxa"/>
            <w:tcBorders>
              <w:top w:val="single" w:color="auto" w:sz="4" w:space="0"/>
              <w:left w:val="single" w:color="auto" w:sz="4" w:space="0"/>
              <w:bottom w:val="single" w:color="auto" w:sz="4" w:space="0"/>
              <w:right w:val="single" w:color="auto" w:sz="4" w:space="0"/>
            </w:tcBorders>
            <w:vAlign w:val="center"/>
          </w:tcPr>
          <w:p w14:paraId="491E6F7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2FA629C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0.0011 </w:t>
            </w:r>
          </w:p>
        </w:tc>
        <w:tc>
          <w:tcPr>
            <w:tcW w:w="1373" w:type="dxa"/>
            <w:tcBorders>
              <w:top w:val="single" w:color="auto" w:sz="4" w:space="0"/>
              <w:left w:val="single" w:color="auto" w:sz="4" w:space="0"/>
              <w:bottom w:val="single" w:color="auto" w:sz="4" w:space="0"/>
              <w:right w:val="single" w:color="auto" w:sz="4" w:space="0"/>
            </w:tcBorders>
            <w:vAlign w:val="center"/>
          </w:tcPr>
          <w:p w14:paraId="149C9394">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0.612 </w:t>
            </w:r>
          </w:p>
        </w:tc>
        <w:tc>
          <w:tcPr>
            <w:tcW w:w="1166" w:type="dxa"/>
            <w:tcBorders>
              <w:top w:val="single" w:color="auto" w:sz="4" w:space="0"/>
              <w:left w:val="single" w:color="auto" w:sz="4" w:space="0"/>
              <w:bottom w:val="single" w:color="auto" w:sz="4" w:space="0"/>
              <w:right w:val="single" w:color="auto" w:sz="4" w:space="0"/>
            </w:tcBorders>
            <w:vAlign w:val="center"/>
          </w:tcPr>
          <w:p w14:paraId="55D64CA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7A5A50D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4E5731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11</w:t>
            </w:r>
          </w:p>
        </w:tc>
        <w:tc>
          <w:tcPr>
            <w:tcW w:w="912" w:type="dxa"/>
            <w:tcBorders>
              <w:top w:val="single" w:color="auto" w:sz="4" w:space="0"/>
              <w:left w:val="single" w:color="auto" w:sz="4" w:space="0"/>
              <w:bottom w:val="single" w:color="auto" w:sz="4" w:space="0"/>
              <w:right w:val="single" w:color="auto" w:sz="4" w:space="0"/>
            </w:tcBorders>
            <w:vAlign w:val="center"/>
          </w:tcPr>
          <w:p w14:paraId="217D90C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S-11</w:t>
            </w:r>
          </w:p>
        </w:tc>
        <w:tc>
          <w:tcPr>
            <w:tcW w:w="939" w:type="dxa"/>
            <w:tcBorders>
              <w:top w:val="single" w:color="auto" w:sz="4" w:space="0"/>
              <w:left w:val="single" w:color="auto" w:sz="4" w:space="0"/>
              <w:bottom w:val="single" w:color="auto" w:sz="4" w:space="0"/>
              <w:right w:val="single" w:color="auto" w:sz="4" w:space="0"/>
            </w:tcBorders>
            <w:vAlign w:val="center"/>
          </w:tcPr>
          <w:p w14:paraId="6927DE2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982A9C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0.0010 </w:t>
            </w:r>
          </w:p>
        </w:tc>
        <w:tc>
          <w:tcPr>
            <w:tcW w:w="1373" w:type="dxa"/>
            <w:tcBorders>
              <w:top w:val="single" w:color="auto" w:sz="4" w:space="0"/>
              <w:left w:val="single" w:color="auto" w:sz="4" w:space="0"/>
              <w:bottom w:val="single" w:color="auto" w:sz="4" w:space="0"/>
              <w:right w:val="single" w:color="auto" w:sz="4" w:space="0"/>
            </w:tcBorders>
            <w:vAlign w:val="center"/>
          </w:tcPr>
          <w:p w14:paraId="64B7294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0.101 </w:t>
            </w:r>
          </w:p>
        </w:tc>
        <w:tc>
          <w:tcPr>
            <w:tcW w:w="1166" w:type="dxa"/>
            <w:tcBorders>
              <w:top w:val="single" w:color="auto" w:sz="4" w:space="0"/>
              <w:left w:val="single" w:color="auto" w:sz="4" w:space="0"/>
              <w:bottom w:val="single" w:color="auto" w:sz="4" w:space="0"/>
              <w:right w:val="single" w:color="auto" w:sz="4" w:space="0"/>
            </w:tcBorders>
            <w:vAlign w:val="center"/>
          </w:tcPr>
          <w:p w14:paraId="61B8672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0314F88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5DCCDE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12</w:t>
            </w:r>
          </w:p>
        </w:tc>
        <w:tc>
          <w:tcPr>
            <w:tcW w:w="912" w:type="dxa"/>
            <w:tcBorders>
              <w:top w:val="single" w:color="auto" w:sz="4" w:space="0"/>
              <w:left w:val="single" w:color="auto" w:sz="4" w:space="0"/>
              <w:bottom w:val="single" w:color="auto" w:sz="4" w:space="0"/>
              <w:right w:val="single" w:color="auto" w:sz="4" w:space="0"/>
            </w:tcBorders>
            <w:vAlign w:val="center"/>
          </w:tcPr>
          <w:p w14:paraId="32D409E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S-12</w:t>
            </w:r>
          </w:p>
        </w:tc>
        <w:tc>
          <w:tcPr>
            <w:tcW w:w="939" w:type="dxa"/>
            <w:tcBorders>
              <w:top w:val="single" w:color="auto" w:sz="4" w:space="0"/>
              <w:left w:val="single" w:color="auto" w:sz="4" w:space="0"/>
              <w:bottom w:val="single" w:color="auto" w:sz="4" w:space="0"/>
              <w:right w:val="single" w:color="auto" w:sz="4" w:space="0"/>
            </w:tcBorders>
            <w:vAlign w:val="center"/>
          </w:tcPr>
          <w:p w14:paraId="0B8DE8C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5E27AA5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32BE2D6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44E0E744">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0.021</w:t>
            </w:r>
          </w:p>
        </w:tc>
      </w:tr>
      <w:tr w14:paraId="484382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68FA1F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13</w:t>
            </w:r>
          </w:p>
        </w:tc>
        <w:tc>
          <w:tcPr>
            <w:tcW w:w="912" w:type="dxa"/>
            <w:tcBorders>
              <w:top w:val="single" w:color="auto" w:sz="4" w:space="0"/>
              <w:left w:val="single" w:color="auto" w:sz="4" w:space="0"/>
              <w:bottom w:val="single" w:color="auto" w:sz="4" w:space="0"/>
              <w:right w:val="single" w:color="auto" w:sz="4" w:space="0"/>
            </w:tcBorders>
            <w:vAlign w:val="center"/>
          </w:tcPr>
          <w:p w14:paraId="5F4681A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S-13</w:t>
            </w:r>
          </w:p>
        </w:tc>
        <w:tc>
          <w:tcPr>
            <w:tcW w:w="939" w:type="dxa"/>
            <w:tcBorders>
              <w:top w:val="single" w:color="auto" w:sz="4" w:space="0"/>
              <w:left w:val="single" w:color="auto" w:sz="4" w:space="0"/>
              <w:bottom w:val="single" w:color="auto" w:sz="4" w:space="0"/>
              <w:right w:val="single" w:color="auto" w:sz="4" w:space="0"/>
            </w:tcBorders>
            <w:vAlign w:val="center"/>
          </w:tcPr>
          <w:p w14:paraId="2EE83E6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1EAFD13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59FACB6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0.843 </w:t>
            </w:r>
          </w:p>
        </w:tc>
        <w:tc>
          <w:tcPr>
            <w:tcW w:w="1166" w:type="dxa"/>
            <w:tcBorders>
              <w:top w:val="single" w:color="auto" w:sz="4" w:space="0"/>
              <w:left w:val="single" w:color="auto" w:sz="4" w:space="0"/>
              <w:bottom w:val="single" w:color="auto" w:sz="4" w:space="0"/>
              <w:right w:val="single" w:color="auto" w:sz="4" w:space="0"/>
            </w:tcBorders>
            <w:vAlign w:val="center"/>
          </w:tcPr>
          <w:p w14:paraId="0559274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0.02</w:t>
            </w:r>
          </w:p>
        </w:tc>
      </w:tr>
      <w:tr w14:paraId="55D803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0DF9D0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14</w:t>
            </w:r>
          </w:p>
        </w:tc>
        <w:tc>
          <w:tcPr>
            <w:tcW w:w="912" w:type="dxa"/>
            <w:tcBorders>
              <w:top w:val="single" w:color="auto" w:sz="4" w:space="0"/>
              <w:left w:val="single" w:color="auto" w:sz="4" w:space="0"/>
              <w:bottom w:val="single" w:color="auto" w:sz="4" w:space="0"/>
              <w:right w:val="single" w:color="auto" w:sz="4" w:space="0"/>
            </w:tcBorders>
            <w:vAlign w:val="center"/>
          </w:tcPr>
          <w:p w14:paraId="7D9823F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S-14</w:t>
            </w:r>
          </w:p>
        </w:tc>
        <w:tc>
          <w:tcPr>
            <w:tcW w:w="939" w:type="dxa"/>
            <w:tcBorders>
              <w:top w:val="single" w:color="auto" w:sz="4" w:space="0"/>
              <w:left w:val="single" w:color="auto" w:sz="4" w:space="0"/>
              <w:bottom w:val="single" w:color="auto" w:sz="4" w:space="0"/>
              <w:right w:val="single" w:color="auto" w:sz="4" w:space="0"/>
            </w:tcBorders>
            <w:vAlign w:val="center"/>
          </w:tcPr>
          <w:p w14:paraId="50A9397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70F3A12">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6E3366D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0.104 </w:t>
            </w:r>
          </w:p>
        </w:tc>
        <w:tc>
          <w:tcPr>
            <w:tcW w:w="1166" w:type="dxa"/>
            <w:tcBorders>
              <w:top w:val="single" w:color="auto" w:sz="4" w:space="0"/>
              <w:left w:val="single" w:color="auto" w:sz="4" w:space="0"/>
              <w:bottom w:val="single" w:color="auto" w:sz="4" w:space="0"/>
              <w:right w:val="single" w:color="auto" w:sz="4" w:space="0"/>
            </w:tcBorders>
            <w:vAlign w:val="center"/>
          </w:tcPr>
          <w:p w14:paraId="44FDC0B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0.016</w:t>
            </w:r>
          </w:p>
        </w:tc>
      </w:tr>
      <w:tr w14:paraId="532012A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AFCD51D">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15</w:t>
            </w:r>
          </w:p>
        </w:tc>
        <w:tc>
          <w:tcPr>
            <w:tcW w:w="912" w:type="dxa"/>
            <w:tcBorders>
              <w:top w:val="single" w:color="auto" w:sz="4" w:space="0"/>
              <w:left w:val="single" w:color="auto" w:sz="4" w:space="0"/>
              <w:bottom w:val="single" w:color="auto" w:sz="4" w:space="0"/>
              <w:right w:val="single" w:color="auto" w:sz="4" w:space="0"/>
            </w:tcBorders>
            <w:vAlign w:val="center"/>
          </w:tcPr>
          <w:p w14:paraId="3088A85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S-15</w:t>
            </w:r>
          </w:p>
        </w:tc>
        <w:tc>
          <w:tcPr>
            <w:tcW w:w="939" w:type="dxa"/>
            <w:tcBorders>
              <w:top w:val="single" w:color="auto" w:sz="4" w:space="0"/>
              <w:left w:val="single" w:color="auto" w:sz="4" w:space="0"/>
              <w:bottom w:val="single" w:color="auto" w:sz="4" w:space="0"/>
              <w:right w:val="single" w:color="auto" w:sz="4" w:space="0"/>
            </w:tcBorders>
            <w:vAlign w:val="center"/>
          </w:tcPr>
          <w:p w14:paraId="05AF775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781F4A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0.0008 </w:t>
            </w:r>
          </w:p>
        </w:tc>
        <w:tc>
          <w:tcPr>
            <w:tcW w:w="1373" w:type="dxa"/>
            <w:tcBorders>
              <w:top w:val="single" w:color="auto" w:sz="4" w:space="0"/>
              <w:left w:val="single" w:color="auto" w:sz="4" w:space="0"/>
              <w:bottom w:val="single" w:color="auto" w:sz="4" w:space="0"/>
              <w:right w:val="single" w:color="auto" w:sz="4" w:space="0"/>
            </w:tcBorders>
            <w:vAlign w:val="center"/>
          </w:tcPr>
          <w:p w14:paraId="0F92D54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0F0BCF6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0.016</w:t>
            </w:r>
          </w:p>
        </w:tc>
      </w:tr>
      <w:tr w14:paraId="43AEDC0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07997D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912" w:type="dxa"/>
            <w:tcBorders>
              <w:top w:val="single" w:color="auto" w:sz="4" w:space="0"/>
              <w:left w:val="single" w:color="auto" w:sz="4" w:space="0"/>
              <w:bottom w:val="single" w:color="auto" w:sz="4" w:space="0"/>
              <w:right w:val="single" w:color="auto" w:sz="4" w:space="0"/>
            </w:tcBorders>
            <w:vAlign w:val="center"/>
          </w:tcPr>
          <w:p w14:paraId="23C406C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S-16</w:t>
            </w:r>
          </w:p>
        </w:tc>
        <w:tc>
          <w:tcPr>
            <w:tcW w:w="939" w:type="dxa"/>
            <w:tcBorders>
              <w:top w:val="single" w:color="auto" w:sz="4" w:space="0"/>
              <w:left w:val="single" w:color="auto" w:sz="4" w:space="0"/>
              <w:bottom w:val="single" w:color="auto" w:sz="4" w:space="0"/>
              <w:right w:val="single" w:color="auto" w:sz="4" w:space="0"/>
            </w:tcBorders>
            <w:vAlign w:val="center"/>
          </w:tcPr>
          <w:p w14:paraId="3243CB3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6DD6EFA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69B536E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0.984 </w:t>
            </w:r>
          </w:p>
        </w:tc>
        <w:tc>
          <w:tcPr>
            <w:tcW w:w="1166" w:type="dxa"/>
            <w:tcBorders>
              <w:top w:val="single" w:color="auto" w:sz="4" w:space="0"/>
              <w:left w:val="single" w:color="auto" w:sz="4" w:space="0"/>
              <w:bottom w:val="single" w:color="auto" w:sz="4" w:space="0"/>
              <w:right w:val="single" w:color="auto" w:sz="4" w:space="0"/>
            </w:tcBorders>
            <w:vAlign w:val="center"/>
          </w:tcPr>
          <w:p w14:paraId="68093122">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0.014</w:t>
            </w:r>
          </w:p>
        </w:tc>
      </w:tr>
      <w:tr w14:paraId="2BA55B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63C3AA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17</w:t>
            </w:r>
          </w:p>
        </w:tc>
        <w:tc>
          <w:tcPr>
            <w:tcW w:w="912" w:type="dxa"/>
            <w:tcBorders>
              <w:top w:val="single" w:color="auto" w:sz="4" w:space="0"/>
              <w:left w:val="single" w:color="auto" w:sz="4" w:space="0"/>
              <w:bottom w:val="single" w:color="auto" w:sz="4" w:space="0"/>
              <w:right w:val="single" w:color="auto" w:sz="4" w:space="0"/>
            </w:tcBorders>
            <w:vAlign w:val="center"/>
          </w:tcPr>
          <w:p w14:paraId="6FA4174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S-17</w:t>
            </w:r>
          </w:p>
        </w:tc>
        <w:tc>
          <w:tcPr>
            <w:tcW w:w="939" w:type="dxa"/>
            <w:tcBorders>
              <w:top w:val="single" w:color="auto" w:sz="4" w:space="0"/>
              <w:left w:val="single" w:color="auto" w:sz="4" w:space="0"/>
              <w:bottom w:val="single" w:color="auto" w:sz="4" w:space="0"/>
              <w:right w:val="single" w:color="auto" w:sz="4" w:space="0"/>
            </w:tcBorders>
            <w:vAlign w:val="center"/>
          </w:tcPr>
          <w:p w14:paraId="051CDDA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F6F01D7">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0.0005 </w:t>
            </w:r>
          </w:p>
        </w:tc>
        <w:tc>
          <w:tcPr>
            <w:tcW w:w="1373" w:type="dxa"/>
            <w:tcBorders>
              <w:top w:val="single" w:color="auto" w:sz="4" w:space="0"/>
              <w:left w:val="single" w:color="auto" w:sz="4" w:space="0"/>
              <w:bottom w:val="single" w:color="auto" w:sz="4" w:space="0"/>
              <w:right w:val="single" w:color="auto" w:sz="4" w:space="0"/>
            </w:tcBorders>
            <w:vAlign w:val="center"/>
          </w:tcPr>
          <w:p w14:paraId="20A6703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2C2BE964">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0.014</w:t>
            </w:r>
          </w:p>
        </w:tc>
      </w:tr>
      <w:tr w14:paraId="15A31DD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1A1C9C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18</w:t>
            </w:r>
          </w:p>
        </w:tc>
        <w:tc>
          <w:tcPr>
            <w:tcW w:w="912" w:type="dxa"/>
            <w:tcBorders>
              <w:top w:val="single" w:color="auto" w:sz="4" w:space="0"/>
              <w:left w:val="single" w:color="auto" w:sz="4" w:space="0"/>
              <w:bottom w:val="single" w:color="auto" w:sz="4" w:space="0"/>
              <w:right w:val="single" w:color="auto" w:sz="4" w:space="0"/>
            </w:tcBorders>
            <w:vAlign w:val="center"/>
          </w:tcPr>
          <w:p w14:paraId="36C68D8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S-18</w:t>
            </w:r>
          </w:p>
        </w:tc>
        <w:tc>
          <w:tcPr>
            <w:tcW w:w="939" w:type="dxa"/>
            <w:tcBorders>
              <w:top w:val="single" w:color="auto" w:sz="4" w:space="0"/>
              <w:left w:val="single" w:color="auto" w:sz="4" w:space="0"/>
              <w:bottom w:val="single" w:color="auto" w:sz="4" w:space="0"/>
              <w:right w:val="single" w:color="auto" w:sz="4" w:space="0"/>
            </w:tcBorders>
            <w:vAlign w:val="center"/>
          </w:tcPr>
          <w:p w14:paraId="7A30D47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E534BF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0.0009 </w:t>
            </w:r>
          </w:p>
        </w:tc>
        <w:tc>
          <w:tcPr>
            <w:tcW w:w="1373" w:type="dxa"/>
            <w:tcBorders>
              <w:top w:val="single" w:color="auto" w:sz="4" w:space="0"/>
              <w:left w:val="single" w:color="auto" w:sz="4" w:space="0"/>
              <w:bottom w:val="single" w:color="auto" w:sz="4" w:space="0"/>
              <w:right w:val="single" w:color="auto" w:sz="4" w:space="0"/>
            </w:tcBorders>
            <w:vAlign w:val="center"/>
          </w:tcPr>
          <w:p w14:paraId="1C963D3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1.090 </w:t>
            </w:r>
          </w:p>
        </w:tc>
        <w:tc>
          <w:tcPr>
            <w:tcW w:w="1166" w:type="dxa"/>
            <w:tcBorders>
              <w:top w:val="single" w:color="auto" w:sz="4" w:space="0"/>
              <w:left w:val="single" w:color="auto" w:sz="4" w:space="0"/>
              <w:bottom w:val="single" w:color="auto" w:sz="4" w:space="0"/>
              <w:right w:val="single" w:color="auto" w:sz="4" w:space="0"/>
            </w:tcBorders>
            <w:vAlign w:val="center"/>
          </w:tcPr>
          <w:p w14:paraId="4AB8265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0.016</w:t>
            </w:r>
          </w:p>
        </w:tc>
      </w:tr>
      <w:tr w14:paraId="007F373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DBC72D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19</w:t>
            </w:r>
          </w:p>
        </w:tc>
        <w:tc>
          <w:tcPr>
            <w:tcW w:w="912" w:type="dxa"/>
            <w:tcBorders>
              <w:top w:val="single" w:color="auto" w:sz="4" w:space="0"/>
              <w:left w:val="single" w:color="auto" w:sz="4" w:space="0"/>
              <w:bottom w:val="single" w:color="auto" w:sz="4" w:space="0"/>
              <w:right w:val="single" w:color="auto" w:sz="4" w:space="0"/>
            </w:tcBorders>
            <w:vAlign w:val="center"/>
          </w:tcPr>
          <w:p w14:paraId="318F2CC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S-19</w:t>
            </w:r>
          </w:p>
        </w:tc>
        <w:tc>
          <w:tcPr>
            <w:tcW w:w="939" w:type="dxa"/>
            <w:tcBorders>
              <w:top w:val="single" w:color="auto" w:sz="4" w:space="0"/>
              <w:left w:val="single" w:color="auto" w:sz="4" w:space="0"/>
              <w:bottom w:val="single" w:color="auto" w:sz="4" w:space="0"/>
              <w:right w:val="single" w:color="auto" w:sz="4" w:space="0"/>
            </w:tcBorders>
            <w:vAlign w:val="center"/>
          </w:tcPr>
          <w:p w14:paraId="5CB5936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CE3B5D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06C415D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2B874C1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0.012</w:t>
            </w:r>
          </w:p>
        </w:tc>
      </w:tr>
      <w:tr w14:paraId="40E8379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B772F6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20</w:t>
            </w:r>
          </w:p>
        </w:tc>
        <w:tc>
          <w:tcPr>
            <w:tcW w:w="912" w:type="dxa"/>
            <w:tcBorders>
              <w:top w:val="single" w:color="auto" w:sz="4" w:space="0"/>
              <w:left w:val="single" w:color="auto" w:sz="4" w:space="0"/>
              <w:bottom w:val="single" w:color="auto" w:sz="4" w:space="0"/>
              <w:right w:val="single" w:color="auto" w:sz="4" w:space="0"/>
            </w:tcBorders>
            <w:vAlign w:val="center"/>
          </w:tcPr>
          <w:p w14:paraId="166228C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S-20</w:t>
            </w:r>
          </w:p>
        </w:tc>
        <w:tc>
          <w:tcPr>
            <w:tcW w:w="939" w:type="dxa"/>
            <w:tcBorders>
              <w:top w:val="single" w:color="auto" w:sz="4" w:space="0"/>
              <w:left w:val="single" w:color="auto" w:sz="4" w:space="0"/>
              <w:bottom w:val="single" w:color="auto" w:sz="4" w:space="0"/>
              <w:right w:val="single" w:color="auto" w:sz="4" w:space="0"/>
            </w:tcBorders>
            <w:vAlign w:val="center"/>
          </w:tcPr>
          <w:p w14:paraId="4EC365F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92CC7F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05FFDBC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0.599 </w:t>
            </w:r>
          </w:p>
        </w:tc>
        <w:tc>
          <w:tcPr>
            <w:tcW w:w="1166" w:type="dxa"/>
            <w:tcBorders>
              <w:top w:val="single" w:color="auto" w:sz="4" w:space="0"/>
              <w:left w:val="single" w:color="auto" w:sz="4" w:space="0"/>
              <w:bottom w:val="single" w:color="auto" w:sz="4" w:space="0"/>
              <w:right w:val="single" w:color="auto" w:sz="4" w:space="0"/>
            </w:tcBorders>
            <w:vAlign w:val="center"/>
          </w:tcPr>
          <w:p w14:paraId="439EDF4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0.013</w:t>
            </w:r>
          </w:p>
        </w:tc>
      </w:tr>
      <w:tr w14:paraId="4F012C2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7A8F69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21</w:t>
            </w:r>
          </w:p>
        </w:tc>
        <w:tc>
          <w:tcPr>
            <w:tcW w:w="912" w:type="dxa"/>
            <w:tcBorders>
              <w:top w:val="single" w:color="auto" w:sz="4" w:space="0"/>
              <w:left w:val="single" w:color="auto" w:sz="4" w:space="0"/>
              <w:bottom w:val="single" w:color="auto" w:sz="4" w:space="0"/>
              <w:right w:val="single" w:color="auto" w:sz="4" w:space="0"/>
            </w:tcBorders>
            <w:vAlign w:val="center"/>
          </w:tcPr>
          <w:p w14:paraId="1809DAAD">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S-21</w:t>
            </w:r>
          </w:p>
        </w:tc>
        <w:tc>
          <w:tcPr>
            <w:tcW w:w="939" w:type="dxa"/>
            <w:tcBorders>
              <w:top w:val="single" w:color="auto" w:sz="4" w:space="0"/>
              <w:left w:val="single" w:color="auto" w:sz="4" w:space="0"/>
              <w:bottom w:val="single" w:color="auto" w:sz="4" w:space="0"/>
              <w:right w:val="single" w:color="auto" w:sz="4" w:space="0"/>
            </w:tcBorders>
            <w:vAlign w:val="center"/>
          </w:tcPr>
          <w:p w14:paraId="4D16D91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092403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05B5313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132D617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0.019</w:t>
            </w:r>
          </w:p>
        </w:tc>
      </w:tr>
      <w:tr w14:paraId="6A1B094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B083395">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22</w:t>
            </w:r>
          </w:p>
        </w:tc>
        <w:tc>
          <w:tcPr>
            <w:tcW w:w="912" w:type="dxa"/>
            <w:tcBorders>
              <w:top w:val="single" w:color="auto" w:sz="4" w:space="0"/>
              <w:left w:val="single" w:color="auto" w:sz="4" w:space="0"/>
              <w:bottom w:val="single" w:color="auto" w:sz="4" w:space="0"/>
              <w:right w:val="single" w:color="auto" w:sz="4" w:space="0"/>
            </w:tcBorders>
            <w:vAlign w:val="center"/>
          </w:tcPr>
          <w:p w14:paraId="04AFD5D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S-22</w:t>
            </w:r>
          </w:p>
        </w:tc>
        <w:tc>
          <w:tcPr>
            <w:tcW w:w="939" w:type="dxa"/>
            <w:tcBorders>
              <w:top w:val="single" w:color="auto" w:sz="4" w:space="0"/>
              <w:left w:val="single" w:color="auto" w:sz="4" w:space="0"/>
              <w:bottom w:val="single" w:color="auto" w:sz="4" w:space="0"/>
              <w:right w:val="single" w:color="auto" w:sz="4" w:space="0"/>
            </w:tcBorders>
            <w:vAlign w:val="center"/>
          </w:tcPr>
          <w:p w14:paraId="68AC4724">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432115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7FCFE13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0.595 </w:t>
            </w:r>
          </w:p>
        </w:tc>
        <w:tc>
          <w:tcPr>
            <w:tcW w:w="1166" w:type="dxa"/>
            <w:tcBorders>
              <w:top w:val="single" w:color="auto" w:sz="4" w:space="0"/>
              <w:left w:val="single" w:color="auto" w:sz="4" w:space="0"/>
              <w:bottom w:val="single" w:color="auto" w:sz="4" w:space="0"/>
              <w:right w:val="single" w:color="auto" w:sz="4" w:space="0"/>
            </w:tcBorders>
            <w:vAlign w:val="center"/>
          </w:tcPr>
          <w:p w14:paraId="6500C88F">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0.014</w:t>
            </w:r>
          </w:p>
        </w:tc>
      </w:tr>
      <w:tr w14:paraId="3C3D42B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A3F3E16">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23</w:t>
            </w:r>
          </w:p>
        </w:tc>
        <w:tc>
          <w:tcPr>
            <w:tcW w:w="912" w:type="dxa"/>
            <w:tcBorders>
              <w:top w:val="single" w:color="auto" w:sz="4" w:space="0"/>
              <w:left w:val="single" w:color="auto" w:sz="4" w:space="0"/>
              <w:bottom w:val="single" w:color="auto" w:sz="4" w:space="0"/>
              <w:right w:val="single" w:color="auto" w:sz="4" w:space="0"/>
            </w:tcBorders>
            <w:vAlign w:val="center"/>
          </w:tcPr>
          <w:p w14:paraId="573D974D">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S-23</w:t>
            </w:r>
          </w:p>
        </w:tc>
        <w:tc>
          <w:tcPr>
            <w:tcW w:w="939" w:type="dxa"/>
            <w:tcBorders>
              <w:top w:val="single" w:color="auto" w:sz="4" w:space="0"/>
              <w:left w:val="single" w:color="auto" w:sz="4" w:space="0"/>
              <w:bottom w:val="single" w:color="auto" w:sz="4" w:space="0"/>
              <w:right w:val="single" w:color="auto" w:sz="4" w:space="0"/>
            </w:tcBorders>
            <w:vAlign w:val="center"/>
          </w:tcPr>
          <w:p w14:paraId="70E23F7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2AA6212">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0.0008 </w:t>
            </w:r>
          </w:p>
        </w:tc>
        <w:tc>
          <w:tcPr>
            <w:tcW w:w="1373" w:type="dxa"/>
            <w:tcBorders>
              <w:top w:val="single" w:color="auto" w:sz="4" w:space="0"/>
              <w:left w:val="single" w:color="auto" w:sz="4" w:space="0"/>
              <w:bottom w:val="single" w:color="auto" w:sz="4" w:space="0"/>
              <w:right w:val="single" w:color="auto" w:sz="4" w:space="0"/>
            </w:tcBorders>
            <w:vAlign w:val="center"/>
          </w:tcPr>
          <w:p w14:paraId="4D812747">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0.864 </w:t>
            </w:r>
          </w:p>
        </w:tc>
        <w:tc>
          <w:tcPr>
            <w:tcW w:w="1166" w:type="dxa"/>
            <w:tcBorders>
              <w:top w:val="single" w:color="auto" w:sz="4" w:space="0"/>
              <w:left w:val="single" w:color="auto" w:sz="4" w:space="0"/>
              <w:bottom w:val="single" w:color="auto" w:sz="4" w:space="0"/>
              <w:right w:val="single" w:color="auto" w:sz="4" w:space="0"/>
            </w:tcBorders>
            <w:vAlign w:val="center"/>
          </w:tcPr>
          <w:p w14:paraId="6ECCA75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0.013</w:t>
            </w:r>
          </w:p>
        </w:tc>
      </w:tr>
      <w:tr w14:paraId="686CE7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535860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24</w:t>
            </w:r>
          </w:p>
        </w:tc>
        <w:tc>
          <w:tcPr>
            <w:tcW w:w="912" w:type="dxa"/>
            <w:tcBorders>
              <w:top w:val="single" w:color="auto" w:sz="4" w:space="0"/>
              <w:left w:val="single" w:color="auto" w:sz="4" w:space="0"/>
              <w:bottom w:val="single" w:color="auto" w:sz="4" w:space="0"/>
              <w:right w:val="single" w:color="auto" w:sz="4" w:space="0"/>
            </w:tcBorders>
            <w:vAlign w:val="center"/>
          </w:tcPr>
          <w:p w14:paraId="4162A33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S-24</w:t>
            </w:r>
          </w:p>
        </w:tc>
        <w:tc>
          <w:tcPr>
            <w:tcW w:w="939" w:type="dxa"/>
            <w:tcBorders>
              <w:top w:val="single" w:color="auto" w:sz="4" w:space="0"/>
              <w:left w:val="single" w:color="auto" w:sz="4" w:space="0"/>
              <w:bottom w:val="single" w:color="auto" w:sz="4" w:space="0"/>
              <w:right w:val="single" w:color="auto" w:sz="4" w:space="0"/>
            </w:tcBorders>
            <w:vAlign w:val="center"/>
          </w:tcPr>
          <w:p w14:paraId="001B4594">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148E9C7">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553D34CF">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0.873 </w:t>
            </w:r>
          </w:p>
        </w:tc>
        <w:tc>
          <w:tcPr>
            <w:tcW w:w="1166" w:type="dxa"/>
            <w:tcBorders>
              <w:top w:val="single" w:color="auto" w:sz="4" w:space="0"/>
              <w:left w:val="single" w:color="auto" w:sz="4" w:space="0"/>
              <w:bottom w:val="single" w:color="auto" w:sz="4" w:space="0"/>
              <w:right w:val="single" w:color="auto" w:sz="4" w:space="0"/>
            </w:tcBorders>
            <w:vAlign w:val="center"/>
          </w:tcPr>
          <w:p w14:paraId="281FD64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0.014</w:t>
            </w:r>
          </w:p>
        </w:tc>
      </w:tr>
      <w:tr w14:paraId="70518FC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4E95FA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25</w:t>
            </w:r>
          </w:p>
        </w:tc>
        <w:tc>
          <w:tcPr>
            <w:tcW w:w="912" w:type="dxa"/>
            <w:tcBorders>
              <w:top w:val="single" w:color="auto" w:sz="4" w:space="0"/>
              <w:left w:val="single" w:color="auto" w:sz="4" w:space="0"/>
              <w:bottom w:val="single" w:color="auto" w:sz="4" w:space="0"/>
              <w:right w:val="single" w:color="auto" w:sz="4" w:space="0"/>
            </w:tcBorders>
            <w:vAlign w:val="center"/>
          </w:tcPr>
          <w:p w14:paraId="78065EE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S-25</w:t>
            </w:r>
          </w:p>
        </w:tc>
        <w:tc>
          <w:tcPr>
            <w:tcW w:w="939" w:type="dxa"/>
            <w:tcBorders>
              <w:top w:val="single" w:color="auto" w:sz="4" w:space="0"/>
              <w:left w:val="single" w:color="auto" w:sz="4" w:space="0"/>
              <w:bottom w:val="single" w:color="auto" w:sz="4" w:space="0"/>
              <w:right w:val="single" w:color="auto" w:sz="4" w:space="0"/>
            </w:tcBorders>
            <w:vAlign w:val="center"/>
          </w:tcPr>
          <w:p w14:paraId="2773C5B2">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1F74083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0.0005 </w:t>
            </w:r>
          </w:p>
        </w:tc>
        <w:tc>
          <w:tcPr>
            <w:tcW w:w="1373" w:type="dxa"/>
            <w:tcBorders>
              <w:top w:val="single" w:color="auto" w:sz="4" w:space="0"/>
              <w:left w:val="single" w:color="auto" w:sz="4" w:space="0"/>
              <w:bottom w:val="single" w:color="auto" w:sz="4" w:space="0"/>
              <w:right w:val="single" w:color="auto" w:sz="4" w:space="0"/>
            </w:tcBorders>
            <w:vAlign w:val="center"/>
          </w:tcPr>
          <w:p w14:paraId="416C1BE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0.599 </w:t>
            </w:r>
          </w:p>
        </w:tc>
        <w:tc>
          <w:tcPr>
            <w:tcW w:w="1166" w:type="dxa"/>
            <w:tcBorders>
              <w:top w:val="single" w:color="auto" w:sz="4" w:space="0"/>
              <w:left w:val="single" w:color="auto" w:sz="4" w:space="0"/>
              <w:bottom w:val="single" w:color="auto" w:sz="4" w:space="0"/>
              <w:right w:val="single" w:color="auto" w:sz="4" w:space="0"/>
            </w:tcBorders>
            <w:vAlign w:val="center"/>
          </w:tcPr>
          <w:p w14:paraId="6B77DC7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0.011</w:t>
            </w:r>
          </w:p>
        </w:tc>
      </w:tr>
      <w:tr w14:paraId="1AEA214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404C6B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26</w:t>
            </w:r>
          </w:p>
        </w:tc>
        <w:tc>
          <w:tcPr>
            <w:tcW w:w="912" w:type="dxa"/>
            <w:tcBorders>
              <w:top w:val="single" w:color="auto" w:sz="4" w:space="0"/>
              <w:left w:val="single" w:color="auto" w:sz="4" w:space="0"/>
              <w:bottom w:val="single" w:color="auto" w:sz="4" w:space="0"/>
              <w:right w:val="single" w:color="auto" w:sz="4" w:space="0"/>
            </w:tcBorders>
            <w:vAlign w:val="center"/>
          </w:tcPr>
          <w:p w14:paraId="4649229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S-26</w:t>
            </w:r>
          </w:p>
        </w:tc>
        <w:tc>
          <w:tcPr>
            <w:tcW w:w="939" w:type="dxa"/>
            <w:tcBorders>
              <w:top w:val="single" w:color="auto" w:sz="4" w:space="0"/>
              <w:left w:val="single" w:color="auto" w:sz="4" w:space="0"/>
              <w:bottom w:val="single" w:color="auto" w:sz="4" w:space="0"/>
              <w:right w:val="single" w:color="auto" w:sz="4" w:space="0"/>
            </w:tcBorders>
            <w:vAlign w:val="center"/>
          </w:tcPr>
          <w:p w14:paraId="7EC0E43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48FF879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0.0008 </w:t>
            </w:r>
          </w:p>
        </w:tc>
        <w:tc>
          <w:tcPr>
            <w:tcW w:w="1373" w:type="dxa"/>
            <w:tcBorders>
              <w:top w:val="single" w:color="auto" w:sz="4" w:space="0"/>
              <w:left w:val="single" w:color="auto" w:sz="4" w:space="0"/>
              <w:bottom w:val="single" w:color="auto" w:sz="4" w:space="0"/>
              <w:right w:val="single" w:color="auto" w:sz="4" w:space="0"/>
            </w:tcBorders>
            <w:vAlign w:val="center"/>
          </w:tcPr>
          <w:p w14:paraId="0E009614">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478A2CE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0.015</w:t>
            </w:r>
          </w:p>
        </w:tc>
      </w:tr>
      <w:tr w14:paraId="1E9FF43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30BFFA2">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27</w:t>
            </w:r>
          </w:p>
        </w:tc>
        <w:tc>
          <w:tcPr>
            <w:tcW w:w="912" w:type="dxa"/>
            <w:tcBorders>
              <w:top w:val="single" w:color="auto" w:sz="4" w:space="0"/>
              <w:left w:val="single" w:color="auto" w:sz="4" w:space="0"/>
              <w:bottom w:val="single" w:color="auto" w:sz="4" w:space="0"/>
              <w:right w:val="single" w:color="auto" w:sz="4" w:space="0"/>
            </w:tcBorders>
            <w:vAlign w:val="center"/>
          </w:tcPr>
          <w:p w14:paraId="1E5AA4F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S-27</w:t>
            </w:r>
          </w:p>
        </w:tc>
        <w:tc>
          <w:tcPr>
            <w:tcW w:w="939" w:type="dxa"/>
            <w:tcBorders>
              <w:top w:val="single" w:color="auto" w:sz="4" w:space="0"/>
              <w:left w:val="single" w:color="auto" w:sz="4" w:space="0"/>
              <w:bottom w:val="single" w:color="auto" w:sz="4" w:space="0"/>
              <w:right w:val="single" w:color="auto" w:sz="4" w:space="0"/>
            </w:tcBorders>
            <w:vAlign w:val="center"/>
          </w:tcPr>
          <w:p w14:paraId="1677A40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6DB48A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257FE2E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0.413 </w:t>
            </w:r>
          </w:p>
        </w:tc>
        <w:tc>
          <w:tcPr>
            <w:tcW w:w="1166" w:type="dxa"/>
            <w:tcBorders>
              <w:top w:val="single" w:color="auto" w:sz="4" w:space="0"/>
              <w:left w:val="single" w:color="auto" w:sz="4" w:space="0"/>
              <w:bottom w:val="single" w:color="auto" w:sz="4" w:space="0"/>
              <w:right w:val="single" w:color="auto" w:sz="4" w:space="0"/>
            </w:tcBorders>
            <w:vAlign w:val="center"/>
          </w:tcPr>
          <w:p w14:paraId="36315BE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w:t>
            </w:r>
          </w:p>
        </w:tc>
      </w:tr>
      <w:tr w14:paraId="7853A8B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969353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28</w:t>
            </w:r>
          </w:p>
        </w:tc>
        <w:tc>
          <w:tcPr>
            <w:tcW w:w="912" w:type="dxa"/>
            <w:tcBorders>
              <w:top w:val="single" w:color="auto" w:sz="4" w:space="0"/>
              <w:left w:val="single" w:color="auto" w:sz="4" w:space="0"/>
              <w:bottom w:val="single" w:color="auto" w:sz="4" w:space="0"/>
              <w:right w:val="single" w:color="auto" w:sz="4" w:space="0"/>
            </w:tcBorders>
            <w:vAlign w:val="center"/>
          </w:tcPr>
          <w:p w14:paraId="542AE774">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S-28</w:t>
            </w:r>
          </w:p>
        </w:tc>
        <w:tc>
          <w:tcPr>
            <w:tcW w:w="939" w:type="dxa"/>
            <w:tcBorders>
              <w:top w:val="single" w:color="auto" w:sz="4" w:space="0"/>
              <w:left w:val="single" w:color="auto" w:sz="4" w:space="0"/>
              <w:bottom w:val="single" w:color="auto" w:sz="4" w:space="0"/>
              <w:right w:val="single" w:color="auto" w:sz="4" w:space="0"/>
            </w:tcBorders>
            <w:vAlign w:val="center"/>
          </w:tcPr>
          <w:p w14:paraId="0CFE25C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CFC3EE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0.0006 </w:t>
            </w:r>
          </w:p>
        </w:tc>
        <w:tc>
          <w:tcPr>
            <w:tcW w:w="1373" w:type="dxa"/>
            <w:tcBorders>
              <w:top w:val="single" w:color="auto" w:sz="4" w:space="0"/>
              <w:left w:val="single" w:color="auto" w:sz="4" w:space="0"/>
              <w:bottom w:val="single" w:color="auto" w:sz="4" w:space="0"/>
              <w:right w:val="single" w:color="auto" w:sz="4" w:space="0"/>
            </w:tcBorders>
            <w:vAlign w:val="center"/>
          </w:tcPr>
          <w:p w14:paraId="4406D8B3">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0.793 </w:t>
            </w:r>
          </w:p>
        </w:tc>
        <w:tc>
          <w:tcPr>
            <w:tcW w:w="1166" w:type="dxa"/>
            <w:tcBorders>
              <w:top w:val="single" w:color="auto" w:sz="4" w:space="0"/>
              <w:left w:val="single" w:color="auto" w:sz="4" w:space="0"/>
              <w:bottom w:val="single" w:color="auto" w:sz="4" w:space="0"/>
              <w:right w:val="single" w:color="auto" w:sz="4" w:space="0"/>
            </w:tcBorders>
            <w:vAlign w:val="center"/>
          </w:tcPr>
          <w:p w14:paraId="55B41342">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0.012</w:t>
            </w:r>
          </w:p>
        </w:tc>
      </w:tr>
      <w:tr w14:paraId="3A24D75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C7C30E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29</w:t>
            </w:r>
          </w:p>
        </w:tc>
        <w:tc>
          <w:tcPr>
            <w:tcW w:w="912" w:type="dxa"/>
            <w:tcBorders>
              <w:top w:val="single" w:color="auto" w:sz="4" w:space="0"/>
              <w:left w:val="single" w:color="auto" w:sz="4" w:space="0"/>
              <w:bottom w:val="single" w:color="auto" w:sz="4" w:space="0"/>
              <w:right w:val="single" w:color="auto" w:sz="4" w:space="0"/>
            </w:tcBorders>
            <w:vAlign w:val="center"/>
          </w:tcPr>
          <w:p w14:paraId="036BC471">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S-29</w:t>
            </w:r>
          </w:p>
        </w:tc>
        <w:tc>
          <w:tcPr>
            <w:tcW w:w="939" w:type="dxa"/>
            <w:tcBorders>
              <w:top w:val="single" w:color="auto" w:sz="4" w:space="0"/>
              <w:left w:val="single" w:color="auto" w:sz="4" w:space="0"/>
              <w:bottom w:val="single" w:color="auto" w:sz="4" w:space="0"/>
              <w:right w:val="single" w:color="auto" w:sz="4" w:space="0"/>
            </w:tcBorders>
            <w:vAlign w:val="center"/>
          </w:tcPr>
          <w:p w14:paraId="585BC5F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53C6874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0.0064 </w:t>
            </w:r>
          </w:p>
        </w:tc>
        <w:tc>
          <w:tcPr>
            <w:tcW w:w="1373" w:type="dxa"/>
            <w:tcBorders>
              <w:top w:val="single" w:color="auto" w:sz="4" w:space="0"/>
              <w:left w:val="single" w:color="auto" w:sz="4" w:space="0"/>
              <w:bottom w:val="single" w:color="auto" w:sz="4" w:space="0"/>
              <w:right w:val="single" w:color="auto" w:sz="4" w:space="0"/>
            </w:tcBorders>
            <w:vAlign w:val="center"/>
          </w:tcPr>
          <w:p w14:paraId="02413E0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1.680 </w:t>
            </w:r>
          </w:p>
        </w:tc>
        <w:tc>
          <w:tcPr>
            <w:tcW w:w="1166" w:type="dxa"/>
            <w:tcBorders>
              <w:top w:val="single" w:color="auto" w:sz="4" w:space="0"/>
              <w:left w:val="single" w:color="auto" w:sz="4" w:space="0"/>
              <w:bottom w:val="single" w:color="auto" w:sz="4" w:space="0"/>
              <w:right w:val="single" w:color="auto" w:sz="4" w:space="0"/>
            </w:tcBorders>
            <w:vAlign w:val="center"/>
          </w:tcPr>
          <w:p w14:paraId="1BF5A76E">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0.009</w:t>
            </w:r>
          </w:p>
        </w:tc>
      </w:tr>
      <w:tr w14:paraId="3ABE662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26708A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30</w:t>
            </w:r>
          </w:p>
        </w:tc>
        <w:tc>
          <w:tcPr>
            <w:tcW w:w="912" w:type="dxa"/>
            <w:tcBorders>
              <w:top w:val="single" w:color="auto" w:sz="4" w:space="0"/>
              <w:left w:val="single" w:color="auto" w:sz="4" w:space="0"/>
              <w:bottom w:val="single" w:color="auto" w:sz="4" w:space="0"/>
              <w:right w:val="single" w:color="auto" w:sz="4" w:space="0"/>
            </w:tcBorders>
            <w:vAlign w:val="center"/>
          </w:tcPr>
          <w:p w14:paraId="35C4419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S-30</w:t>
            </w:r>
          </w:p>
        </w:tc>
        <w:tc>
          <w:tcPr>
            <w:tcW w:w="939" w:type="dxa"/>
            <w:tcBorders>
              <w:top w:val="single" w:color="auto" w:sz="4" w:space="0"/>
              <w:left w:val="single" w:color="auto" w:sz="4" w:space="0"/>
              <w:bottom w:val="single" w:color="auto" w:sz="4" w:space="0"/>
              <w:right w:val="single" w:color="auto" w:sz="4" w:space="0"/>
            </w:tcBorders>
            <w:vAlign w:val="center"/>
          </w:tcPr>
          <w:p w14:paraId="451523E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570F644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0.0007 </w:t>
            </w:r>
          </w:p>
        </w:tc>
        <w:tc>
          <w:tcPr>
            <w:tcW w:w="1373" w:type="dxa"/>
            <w:tcBorders>
              <w:top w:val="single" w:color="auto" w:sz="4" w:space="0"/>
              <w:left w:val="single" w:color="auto" w:sz="4" w:space="0"/>
              <w:bottom w:val="single" w:color="auto" w:sz="4" w:space="0"/>
              <w:right w:val="single" w:color="auto" w:sz="4" w:space="0"/>
            </w:tcBorders>
            <w:vAlign w:val="center"/>
          </w:tcPr>
          <w:p w14:paraId="0485FDD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0.454 </w:t>
            </w:r>
          </w:p>
        </w:tc>
        <w:tc>
          <w:tcPr>
            <w:tcW w:w="1166" w:type="dxa"/>
            <w:tcBorders>
              <w:top w:val="single" w:color="auto" w:sz="4" w:space="0"/>
              <w:left w:val="single" w:color="auto" w:sz="4" w:space="0"/>
              <w:bottom w:val="single" w:color="auto" w:sz="4" w:space="0"/>
              <w:right w:val="single" w:color="auto" w:sz="4" w:space="0"/>
            </w:tcBorders>
            <w:vAlign w:val="center"/>
          </w:tcPr>
          <w:p w14:paraId="2366D321">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0.013</w:t>
            </w:r>
          </w:p>
        </w:tc>
      </w:tr>
      <w:tr w14:paraId="41A8BCA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562368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31</w:t>
            </w:r>
          </w:p>
        </w:tc>
        <w:tc>
          <w:tcPr>
            <w:tcW w:w="912" w:type="dxa"/>
            <w:tcBorders>
              <w:top w:val="single" w:color="auto" w:sz="4" w:space="0"/>
              <w:left w:val="single" w:color="auto" w:sz="4" w:space="0"/>
              <w:bottom w:val="single" w:color="auto" w:sz="4" w:space="0"/>
              <w:right w:val="single" w:color="auto" w:sz="4" w:space="0"/>
            </w:tcBorders>
            <w:vAlign w:val="center"/>
          </w:tcPr>
          <w:p w14:paraId="13D351CF">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S-31</w:t>
            </w:r>
          </w:p>
        </w:tc>
        <w:tc>
          <w:tcPr>
            <w:tcW w:w="939" w:type="dxa"/>
            <w:tcBorders>
              <w:top w:val="single" w:color="auto" w:sz="4" w:space="0"/>
              <w:left w:val="single" w:color="auto" w:sz="4" w:space="0"/>
              <w:bottom w:val="single" w:color="auto" w:sz="4" w:space="0"/>
              <w:right w:val="single" w:color="auto" w:sz="4" w:space="0"/>
            </w:tcBorders>
            <w:vAlign w:val="center"/>
          </w:tcPr>
          <w:p w14:paraId="2CF6277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7A552C6A">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0.00081</w:t>
            </w:r>
          </w:p>
        </w:tc>
        <w:tc>
          <w:tcPr>
            <w:tcW w:w="1373" w:type="dxa"/>
            <w:tcBorders>
              <w:top w:val="single" w:color="auto" w:sz="4" w:space="0"/>
              <w:left w:val="single" w:color="auto" w:sz="4" w:space="0"/>
              <w:bottom w:val="single" w:color="auto" w:sz="4" w:space="0"/>
              <w:right w:val="single" w:color="auto" w:sz="4" w:space="0"/>
            </w:tcBorders>
            <w:vAlign w:val="center"/>
          </w:tcPr>
          <w:p w14:paraId="3095C815">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7D29A4E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0.024</w:t>
            </w:r>
          </w:p>
        </w:tc>
      </w:tr>
      <w:tr w14:paraId="092DFFE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15A91D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32</w:t>
            </w:r>
          </w:p>
        </w:tc>
        <w:tc>
          <w:tcPr>
            <w:tcW w:w="912" w:type="dxa"/>
            <w:tcBorders>
              <w:top w:val="single" w:color="auto" w:sz="4" w:space="0"/>
              <w:left w:val="single" w:color="auto" w:sz="4" w:space="0"/>
              <w:bottom w:val="single" w:color="auto" w:sz="4" w:space="0"/>
              <w:right w:val="single" w:color="auto" w:sz="4" w:space="0"/>
            </w:tcBorders>
            <w:vAlign w:val="center"/>
          </w:tcPr>
          <w:p w14:paraId="0A989A0E">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S-32</w:t>
            </w:r>
          </w:p>
        </w:tc>
        <w:tc>
          <w:tcPr>
            <w:tcW w:w="939" w:type="dxa"/>
            <w:tcBorders>
              <w:top w:val="single" w:color="auto" w:sz="4" w:space="0"/>
              <w:left w:val="single" w:color="auto" w:sz="4" w:space="0"/>
              <w:bottom w:val="single" w:color="auto" w:sz="4" w:space="0"/>
              <w:right w:val="single" w:color="auto" w:sz="4" w:space="0"/>
            </w:tcBorders>
            <w:vAlign w:val="center"/>
          </w:tcPr>
          <w:p w14:paraId="1B5AB520">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1E347C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0.00094</w:t>
            </w:r>
          </w:p>
        </w:tc>
        <w:tc>
          <w:tcPr>
            <w:tcW w:w="1373" w:type="dxa"/>
            <w:tcBorders>
              <w:top w:val="single" w:color="auto" w:sz="4" w:space="0"/>
              <w:left w:val="single" w:color="auto" w:sz="4" w:space="0"/>
              <w:bottom w:val="single" w:color="auto" w:sz="4" w:space="0"/>
              <w:right w:val="single" w:color="auto" w:sz="4" w:space="0"/>
            </w:tcBorders>
            <w:vAlign w:val="center"/>
          </w:tcPr>
          <w:p w14:paraId="074599DD">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ND</w:t>
            </w:r>
          </w:p>
        </w:tc>
        <w:tc>
          <w:tcPr>
            <w:tcW w:w="1166" w:type="dxa"/>
            <w:tcBorders>
              <w:top w:val="single" w:color="auto" w:sz="4" w:space="0"/>
              <w:left w:val="single" w:color="auto" w:sz="4" w:space="0"/>
              <w:bottom w:val="single" w:color="auto" w:sz="4" w:space="0"/>
              <w:right w:val="single" w:color="auto" w:sz="4" w:space="0"/>
            </w:tcBorders>
            <w:vAlign w:val="center"/>
          </w:tcPr>
          <w:p w14:paraId="142C791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0.017</w:t>
            </w:r>
          </w:p>
        </w:tc>
      </w:tr>
      <w:tr w14:paraId="668A3C3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4BE7192">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33</w:t>
            </w:r>
          </w:p>
        </w:tc>
        <w:tc>
          <w:tcPr>
            <w:tcW w:w="912" w:type="dxa"/>
            <w:tcBorders>
              <w:top w:val="single" w:color="auto" w:sz="4" w:space="0"/>
              <w:left w:val="single" w:color="auto" w:sz="4" w:space="0"/>
              <w:bottom w:val="single" w:color="auto" w:sz="4" w:space="0"/>
              <w:right w:val="single" w:color="auto" w:sz="4" w:space="0"/>
            </w:tcBorders>
            <w:vAlign w:val="center"/>
          </w:tcPr>
          <w:p w14:paraId="5917BA2A">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S-33</w:t>
            </w:r>
          </w:p>
        </w:tc>
        <w:tc>
          <w:tcPr>
            <w:tcW w:w="939" w:type="dxa"/>
            <w:tcBorders>
              <w:top w:val="single" w:color="auto" w:sz="4" w:space="0"/>
              <w:left w:val="single" w:color="auto" w:sz="4" w:space="0"/>
              <w:bottom w:val="single" w:color="auto" w:sz="4" w:space="0"/>
              <w:right w:val="single" w:color="auto" w:sz="4" w:space="0"/>
            </w:tcBorders>
            <w:vAlign w:val="center"/>
          </w:tcPr>
          <w:p w14:paraId="7E4DCC13">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099AE78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0.00068</w:t>
            </w:r>
          </w:p>
        </w:tc>
        <w:tc>
          <w:tcPr>
            <w:tcW w:w="1373" w:type="dxa"/>
            <w:tcBorders>
              <w:top w:val="single" w:color="auto" w:sz="4" w:space="0"/>
              <w:left w:val="single" w:color="auto" w:sz="4" w:space="0"/>
              <w:bottom w:val="single" w:color="auto" w:sz="4" w:space="0"/>
              <w:right w:val="single" w:color="auto" w:sz="4" w:space="0"/>
            </w:tcBorders>
            <w:vAlign w:val="center"/>
          </w:tcPr>
          <w:p w14:paraId="16B1960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0.102</w:t>
            </w:r>
          </w:p>
        </w:tc>
        <w:tc>
          <w:tcPr>
            <w:tcW w:w="1166" w:type="dxa"/>
            <w:tcBorders>
              <w:top w:val="single" w:color="auto" w:sz="4" w:space="0"/>
              <w:left w:val="single" w:color="auto" w:sz="4" w:space="0"/>
              <w:bottom w:val="single" w:color="auto" w:sz="4" w:space="0"/>
              <w:right w:val="single" w:color="auto" w:sz="4" w:space="0"/>
            </w:tcBorders>
            <w:vAlign w:val="center"/>
          </w:tcPr>
          <w:p w14:paraId="35D5CF9B">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0.012</w:t>
            </w:r>
          </w:p>
        </w:tc>
      </w:tr>
      <w:tr w14:paraId="494C1EC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034A15B">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34</w:t>
            </w:r>
          </w:p>
        </w:tc>
        <w:tc>
          <w:tcPr>
            <w:tcW w:w="912" w:type="dxa"/>
            <w:tcBorders>
              <w:top w:val="single" w:color="auto" w:sz="4" w:space="0"/>
              <w:left w:val="single" w:color="auto" w:sz="4" w:space="0"/>
              <w:bottom w:val="single" w:color="auto" w:sz="4" w:space="0"/>
              <w:right w:val="single" w:color="auto" w:sz="4" w:space="0"/>
            </w:tcBorders>
            <w:vAlign w:val="center"/>
          </w:tcPr>
          <w:p w14:paraId="5E1F13A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S-34</w:t>
            </w:r>
          </w:p>
        </w:tc>
        <w:tc>
          <w:tcPr>
            <w:tcW w:w="939" w:type="dxa"/>
            <w:tcBorders>
              <w:top w:val="single" w:color="auto" w:sz="4" w:space="0"/>
              <w:left w:val="single" w:color="auto" w:sz="4" w:space="0"/>
              <w:bottom w:val="single" w:color="auto" w:sz="4" w:space="0"/>
              <w:right w:val="single" w:color="auto" w:sz="4" w:space="0"/>
            </w:tcBorders>
            <w:vAlign w:val="center"/>
          </w:tcPr>
          <w:p w14:paraId="694291BC">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39DDDAD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0.0006</w:t>
            </w:r>
          </w:p>
        </w:tc>
        <w:tc>
          <w:tcPr>
            <w:tcW w:w="1373" w:type="dxa"/>
            <w:tcBorders>
              <w:top w:val="single" w:color="auto" w:sz="4" w:space="0"/>
              <w:left w:val="single" w:color="auto" w:sz="4" w:space="0"/>
              <w:bottom w:val="single" w:color="auto" w:sz="4" w:space="0"/>
              <w:right w:val="single" w:color="auto" w:sz="4" w:space="0"/>
            </w:tcBorders>
            <w:vAlign w:val="center"/>
          </w:tcPr>
          <w:p w14:paraId="0F2192D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0.253</w:t>
            </w:r>
          </w:p>
        </w:tc>
        <w:tc>
          <w:tcPr>
            <w:tcW w:w="1166" w:type="dxa"/>
            <w:tcBorders>
              <w:top w:val="single" w:color="auto" w:sz="4" w:space="0"/>
              <w:left w:val="single" w:color="auto" w:sz="4" w:space="0"/>
              <w:bottom w:val="single" w:color="auto" w:sz="4" w:space="0"/>
              <w:right w:val="single" w:color="auto" w:sz="4" w:space="0"/>
            </w:tcBorders>
            <w:vAlign w:val="center"/>
          </w:tcPr>
          <w:p w14:paraId="160B446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0.018</w:t>
            </w:r>
          </w:p>
        </w:tc>
      </w:tr>
      <w:tr w14:paraId="13B2427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84484D8">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35</w:t>
            </w:r>
          </w:p>
        </w:tc>
        <w:tc>
          <w:tcPr>
            <w:tcW w:w="912" w:type="dxa"/>
            <w:tcBorders>
              <w:top w:val="single" w:color="auto" w:sz="4" w:space="0"/>
              <w:left w:val="single" w:color="auto" w:sz="4" w:space="0"/>
              <w:bottom w:val="single" w:color="auto" w:sz="4" w:space="0"/>
              <w:right w:val="single" w:color="auto" w:sz="4" w:space="0"/>
            </w:tcBorders>
            <w:vAlign w:val="center"/>
          </w:tcPr>
          <w:p w14:paraId="47A904D2">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S-35</w:t>
            </w:r>
          </w:p>
        </w:tc>
        <w:tc>
          <w:tcPr>
            <w:tcW w:w="939" w:type="dxa"/>
            <w:tcBorders>
              <w:top w:val="single" w:color="auto" w:sz="4" w:space="0"/>
              <w:left w:val="single" w:color="auto" w:sz="4" w:space="0"/>
              <w:bottom w:val="single" w:color="auto" w:sz="4" w:space="0"/>
              <w:right w:val="single" w:color="auto" w:sz="4" w:space="0"/>
            </w:tcBorders>
            <w:vAlign w:val="center"/>
          </w:tcPr>
          <w:p w14:paraId="3A2AC887">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玉米</w:t>
            </w:r>
          </w:p>
        </w:tc>
        <w:tc>
          <w:tcPr>
            <w:tcW w:w="1244" w:type="dxa"/>
            <w:tcBorders>
              <w:top w:val="single" w:color="auto" w:sz="4" w:space="0"/>
              <w:left w:val="single" w:color="auto" w:sz="4" w:space="0"/>
              <w:bottom w:val="single" w:color="auto" w:sz="4" w:space="0"/>
              <w:right w:val="single" w:color="auto" w:sz="4" w:space="0"/>
            </w:tcBorders>
            <w:vAlign w:val="center"/>
          </w:tcPr>
          <w:p w14:paraId="165BAD8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0.0008</w:t>
            </w:r>
          </w:p>
        </w:tc>
        <w:tc>
          <w:tcPr>
            <w:tcW w:w="1373" w:type="dxa"/>
            <w:tcBorders>
              <w:top w:val="single" w:color="auto" w:sz="4" w:space="0"/>
              <w:left w:val="single" w:color="auto" w:sz="4" w:space="0"/>
              <w:bottom w:val="single" w:color="auto" w:sz="4" w:space="0"/>
              <w:right w:val="single" w:color="auto" w:sz="4" w:space="0"/>
            </w:tcBorders>
            <w:vAlign w:val="center"/>
          </w:tcPr>
          <w:p w14:paraId="561CB649">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 xml:space="preserve">ND </w:t>
            </w:r>
          </w:p>
        </w:tc>
        <w:tc>
          <w:tcPr>
            <w:tcW w:w="1166" w:type="dxa"/>
            <w:tcBorders>
              <w:top w:val="single" w:color="auto" w:sz="4" w:space="0"/>
              <w:left w:val="single" w:color="auto" w:sz="4" w:space="0"/>
              <w:bottom w:val="single" w:color="auto" w:sz="4" w:space="0"/>
              <w:right w:val="single" w:color="auto" w:sz="4" w:space="0"/>
            </w:tcBorders>
            <w:vAlign w:val="center"/>
          </w:tcPr>
          <w:p w14:paraId="2689E8BC">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0.013</w:t>
            </w:r>
          </w:p>
        </w:tc>
      </w:tr>
      <w:tr w14:paraId="6B493A0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85" w:type="dxa"/>
            <w:gridSpan w:val="3"/>
            <w:tcBorders>
              <w:top w:val="single" w:color="auto" w:sz="4" w:space="0"/>
              <w:left w:val="single" w:color="auto" w:sz="4" w:space="0"/>
              <w:bottom w:val="single" w:color="auto" w:sz="4" w:space="0"/>
              <w:right w:val="single" w:color="auto" w:sz="4" w:space="0"/>
            </w:tcBorders>
            <w:vAlign w:val="center"/>
          </w:tcPr>
          <w:p w14:paraId="38ABFA90">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平均值</w:t>
            </w:r>
          </w:p>
        </w:tc>
        <w:tc>
          <w:tcPr>
            <w:tcW w:w="1244" w:type="dxa"/>
            <w:tcBorders>
              <w:top w:val="single" w:color="auto" w:sz="4" w:space="0"/>
              <w:left w:val="single" w:color="auto" w:sz="4" w:space="0"/>
              <w:bottom w:val="single" w:color="auto" w:sz="4" w:space="0"/>
              <w:right w:val="single" w:color="auto" w:sz="4" w:space="0"/>
            </w:tcBorders>
            <w:vAlign w:val="center"/>
          </w:tcPr>
          <w:p w14:paraId="38B83669">
            <w:pPr>
              <w:widowControl/>
              <w:jc w:val="center"/>
              <w:textAlignment w:val="bottom"/>
              <w:rPr>
                <w:rFonts w:ascii="Times New Roman" w:hAnsi="Times New Roman" w:cs="Times New Roman"/>
                <w:kern w:val="0"/>
                <w:sz w:val="18"/>
                <w:szCs w:val="18"/>
              </w:rPr>
            </w:pPr>
            <w:r>
              <w:rPr>
                <w:rFonts w:hint="eastAsia" w:ascii="Times New Roman" w:hAnsi="Times New Roman" w:cs="Times New Roman"/>
                <w:kern w:val="0"/>
                <w:sz w:val="18"/>
                <w:szCs w:val="18"/>
              </w:rPr>
              <w:t>0.0008</w:t>
            </w:r>
          </w:p>
        </w:tc>
        <w:tc>
          <w:tcPr>
            <w:tcW w:w="1373" w:type="dxa"/>
            <w:tcBorders>
              <w:top w:val="single" w:color="auto" w:sz="4" w:space="0"/>
              <w:left w:val="single" w:color="auto" w:sz="4" w:space="0"/>
              <w:bottom w:val="single" w:color="auto" w:sz="4" w:space="0"/>
              <w:right w:val="single" w:color="auto" w:sz="4" w:space="0"/>
            </w:tcBorders>
            <w:vAlign w:val="center"/>
          </w:tcPr>
          <w:p w14:paraId="0E0C3AA8">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613</w:t>
            </w:r>
          </w:p>
        </w:tc>
        <w:tc>
          <w:tcPr>
            <w:tcW w:w="1166" w:type="dxa"/>
            <w:tcBorders>
              <w:top w:val="single" w:color="auto" w:sz="4" w:space="0"/>
              <w:left w:val="single" w:color="auto" w:sz="4" w:space="0"/>
              <w:bottom w:val="single" w:color="auto" w:sz="4" w:space="0"/>
              <w:right w:val="single" w:color="auto" w:sz="4" w:space="0"/>
            </w:tcBorders>
            <w:vAlign w:val="center"/>
          </w:tcPr>
          <w:p w14:paraId="0632F0B6">
            <w:pPr>
              <w:widowControl/>
              <w:jc w:val="center"/>
              <w:textAlignment w:val="bottom"/>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017</w:t>
            </w:r>
          </w:p>
        </w:tc>
      </w:tr>
    </w:tbl>
    <w:p w14:paraId="7343019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土壤氡的测量结果如下：</w:t>
      </w:r>
    </w:p>
    <w:p w14:paraId="6CA00358">
      <w:pPr>
        <w:jc w:val="center"/>
      </w:pPr>
      <w:r>
        <w:drawing>
          <wp:inline distT="0" distB="0" distL="114300" distR="114300">
            <wp:extent cx="5612130" cy="4344035"/>
            <wp:effectExtent l="0" t="0" r="762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rcRect t="3716"/>
                    <a:stretch>
                      <a:fillRect/>
                    </a:stretch>
                  </pic:blipFill>
                  <pic:spPr>
                    <a:xfrm>
                      <a:off x="0" y="0"/>
                      <a:ext cx="5612130" cy="4344035"/>
                    </a:xfrm>
                    <a:prstGeom prst="rect">
                      <a:avLst/>
                    </a:prstGeom>
                    <a:noFill/>
                    <a:ln>
                      <a:noFill/>
                    </a:ln>
                  </pic:spPr>
                </pic:pic>
              </a:graphicData>
            </a:graphic>
          </wp:inline>
        </w:drawing>
      </w:r>
    </w:p>
    <w:p w14:paraId="51AD47EB">
      <w:pPr>
        <w:jc w:val="center"/>
      </w:pPr>
      <w:r>
        <w:drawing>
          <wp:inline distT="0" distB="0" distL="114300" distR="114300">
            <wp:extent cx="5609590" cy="2948940"/>
            <wp:effectExtent l="0" t="0" r="1016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609590" cy="2948940"/>
                    </a:xfrm>
                    <a:prstGeom prst="rect">
                      <a:avLst/>
                    </a:prstGeom>
                    <a:noFill/>
                    <a:ln>
                      <a:noFill/>
                    </a:ln>
                  </pic:spPr>
                </pic:pic>
              </a:graphicData>
            </a:graphic>
          </wp:inline>
        </w:drawing>
      </w:r>
    </w:p>
    <w:p w14:paraId="7FACF36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结果显示土壤氡</w:t>
      </w:r>
      <w:r>
        <w:rPr>
          <w:rFonts w:ascii="仿宋_GB2312" w:hAnsi="仿宋_GB2312" w:eastAsia="仿宋_GB2312" w:cs="仿宋_GB2312"/>
          <w:sz w:val="28"/>
          <w:szCs w:val="28"/>
        </w:rPr>
        <w:t>最大值为</w:t>
      </w:r>
      <w:r>
        <w:rPr>
          <w:rFonts w:hint="eastAsia" w:ascii="仿宋_GB2312" w:hAnsi="仿宋_GB2312" w:eastAsia="仿宋_GB2312" w:cs="仿宋_GB2312"/>
          <w:sz w:val="28"/>
          <w:szCs w:val="28"/>
        </w:rPr>
        <w:t>73480.18</w:t>
      </w:r>
      <w:r>
        <w:rPr>
          <w:rFonts w:ascii="仿宋_GB2312" w:hAnsi="仿宋_GB2312" w:eastAsia="仿宋_GB2312" w:cs="仿宋_GB2312"/>
          <w:sz w:val="28"/>
          <w:szCs w:val="28"/>
        </w:rPr>
        <w:t>Bq/m</w:t>
      </w:r>
      <w:r>
        <w:rPr>
          <w:rFonts w:ascii="仿宋_GB2312" w:hAnsi="仿宋_GB2312" w:eastAsia="仿宋_GB2312" w:cs="仿宋_GB2312"/>
          <w:sz w:val="28"/>
          <w:szCs w:val="28"/>
          <w:vertAlign w:val="superscript"/>
        </w:rPr>
        <w:t>3</w:t>
      </w:r>
      <w:r>
        <w:rPr>
          <w:rFonts w:ascii="仿宋_GB2312" w:hAnsi="仿宋_GB2312" w:eastAsia="仿宋_GB2312" w:cs="仿宋_GB2312"/>
          <w:sz w:val="28"/>
          <w:szCs w:val="28"/>
        </w:rPr>
        <w:t>，最小值为</w:t>
      </w:r>
      <w:r>
        <w:rPr>
          <w:rFonts w:hint="eastAsia" w:ascii="仿宋_GB2312" w:hAnsi="仿宋_GB2312" w:eastAsia="仿宋_GB2312" w:cs="仿宋_GB2312"/>
          <w:sz w:val="28"/>
          <w:szCs w:val="28"/>
        </w:rPr>
        <w:t>131.45</w:t>
      </w:r>
      <w:r>
        <w:rPr>
          <w:rFonts w:ascii="仿宋_GB2312" w:hAnsi="仿宋_GB2312" w:eastAsia="仿宋_GB2312" w:cs="仿宋_GB2312"/>
          <w:sz w:val="28"/>
          <w:szCs w:val="28"/>
        </w:rPr>
        <w:t>Bq/m</w:t>
      </w:r>
      <w:r>
        <w:rPr>
          <w:rFonts w:ascii="仿宋_GB2312" w:hAnsi="仿宋_GB2312" w:eastAsia="仿宋_GB2312" w:cs="仿宋_GB2312"/>
          <w:sz w:val="28"/>
          <w:szCs w:val="28"/>
          <w:vertAlign w:val="superscript"/>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区域整体</w:t>
      </w:r>
      <w:r>
        <w:rPr>
          <w:rFonts w:ascii="仿宋_GB2312" w:hAnsi="仿宋_GB2312" w:eastAsia="仿宋_GB2312" w:cs="仿宋_GB2312"/>
          <w:sz w:val="28"/>
          <w:szCs w:val="28"/>
        </w:rPr>
        <w:t>背景值为</w:t>
      </w:r>
      <w:r>
        <w:rPr>
          <w:rFonts w:hint="eastAsia" w:ascii="仿宋_GB2312" w:hAnsi="仿宋_GB2312" w:eastAsia="仿宋_GB2312" w:cs="仿宋_GB2312"/>
          <w:sz w:val="28"/>
          <w:szCs w:val="28"/>
        </w:rPr>
        <w:t>4807.51</w:t>
      </w:r>
      <w:r>
        <w:rPr>
          <w:rFonts w:ascii="仿宋_GB2312" w:hAnsi="仿宋_GB2312" w:eastAsia="仿宋_GB2312" w:cs="仿宋_GB2312"/>
          <w:sz w:val="28"/>
          <w:szCs w:val="28"/>
        </w:rPr>
        <w:t>Bq/m</w:t>
      </w:r>
      <w:r>
        <w:rPr>
          <w:rFonts w:ascii="仿宋_GB2312" w:hAnsi="仿宋_GB2312" w:eastAsia="仿宋_GB2312" w:cs="仿宋_GB2312"/>
          <w:sz w:val="28"/>
          <w:szCs w:val="28"/>
          <w:vertAlign w:val="superscript"/>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属正常本底变化范围</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调查区局部地段呈现偏高或高值</w:t>
      </w:r>
      <w:r>
        <w:rPr>
          <w:rFonts w:hint="eastAsia" w:ascii="仿宋_GB2312" w:hAnsi="仿宋_GB2312" w:eastAsia="仿宋_GB2312" w:cs="仿宋_GB2312"/>
          <w:sz w:val="28"/>
          <w:szCs w:val="28"/>
        </w:rPr>
        <w:t>，其中大于20000Bq/m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28"/>
          <w:szCs w:val="28"/>
        </w:rPr>
        <w:t>的测点26个，土壤氡较高的测点主要位于石空镇、宣和镇、永康镇南部、鸣沙镇东部及卫宁北山一带，且多于断裂带分布关系密切。由此说明在自然状态下，土壤氡的调查具有必要性，其对地质、建筑物防氡等均有实际意义。</w:t>
      </w:r>
    </w:p>
    <w:p w14:paraId="2903ED3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环境空气氡的测量结果显示：</w:t>
      </w:r>
    </w:p>
    <w:tbl>
      <w:tblPr>
        <w:tblStyle w:val="35"/>
        <w:tblW w:w="851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2"/>
        <w:gridCol w:w="1703"/>
        <w:gridCol w:w="1703"/>
        <w:gridCol w:w="1704"/>
        <w:gridCol w:w="1704"/>
      </w:tblGrid>
      <w:tr w14:paraId="510E4DF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jc w:val="center"/>
        </w:trPr>
        <w:tc>
          <w:tcPr>
            <w:tcW w:w="1702" w:type="dxa"/>
            <w:vAlign w:val="center"/>
          </w:tcPr>
          <w:p w14:paraId="16AF8B61">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环境类型</w:t>
            </w:r>
          </w:p>
        </w:tc>
        <w:tc>
          <w:tcPr>
            <w:tcW w:w="1703" w:type="dxa"/>
            <w:vAlign w:val="center"/>
          </w:tcPr>
          <w:p w14:paraId="6782D783">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测点数(个)</w:t>
            </w:r>
          </w:p>
        </w:tc>
        <w:tc>
          <w:tcPr>
            <w:tcW w:w="1703" w:type="dxa"/>
            <w:vAlign w:val="center"/>
          </w:tcPr>
          <w:p w14:paraId="21929D2D">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最大值(Bq/m3)</w:t>
            </w:r>
          </w:p>
        </w:tc>
        <w:tc>
          <w:tcPr>
            <w:tcW w:w="1704" w:type="dxa"/>
            <w:vAlign w:val="center"/>
          </w:tcPr>
          <w:p w14:paraId="10A47FFF">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最小值(Bq/m3)</w:t>
            </w:r>
          </w:p>
        </w:tc>
        <w:tc>
          <w:tcPr>
            <w:tcW w:w="1704" w:type="dxa"/>
            <w:vAlign w:val="center"/>
          </w:tcPr>
          <w:p w14:paraId="11CF1967">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平均值(Bq/m</w:t>
            </w:r>
            <w:r>
              <w:rPr>
                <w:rFonts w:hint="eastAsia" w:ascii="宋体" w:hAnsi="宋体" w:eastAsia="宋体" w:cs="宋体"/>
                <w:kern w:val="0"/>
                <w:szCs w:val="21"/>
                <w:vertAlign w:val="superscript"/>
                <w:lang w:eastAsia="en-US" w:bidi="ar"/>
              </w:rPr>
              <w:t>3</w:t>
            </w:r>
            <w:r>
              <w:rPr>
                <w:rFonts w:hint="eastAsia" w:ascii="宋体" w:hAnsi="宋体" w:eastAsia="宋体" w:cs="宋体"/>
                <w:kern w:val="0"/>
                <w:szCs w:val="21"/>
                <w:lang w:eastAsia="en-US" w:bidi="ar"/>
              </w:rPr>
              <w:t>)</w:t>
            </w:r>
          </w:p>
        </w:tc>
      </w:tr>
      <w:tr w14:paraId="7E82FB2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702" w:type="dxa"/>
            <w:vAlign w:val="center"/>
          </w:tcPr>
          <w:p w14:paraId="2CD317B7">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室内</w:t>
            </w:r>
          </w:p>
        </w:tc>
        <w:tc>
          <w:tcPr>
            <w:tcW w:w="1703" w:type="dxa"/>
            <w:vAlign w:val="center"/>
          </w:tcPr>
          <w:p w14:paraId="3941866C">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10</w:t>
            </w:r>
          </w:p>
        </w:tc>
        <w:tc>
          <w:tcPr>
            <w:tcW w:w="1703" w:type="dxa"/>
            <w:vAlign w:val="center"/>
          </w:tcPr>
          <w:p w14:paraId="21CEA6E4">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43.97</w:t>
            </w:r>
          </w:p>
        </w:tc>
        <w:tc>
          <w:tcPr>
            <w:tcW w:w="1704" w:type="dxa"/>
            <w:vAlign w:val="center"/>
          </w:tcPr>
          <w:p w14:paraId="0FE54183">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3.66</w:t>
            </w:r>
          </w:p>
        </w:tc>
        <w:tc>
          <w:tcPr>
            <w:tcW w:w="1704" w:type="dxa"/>
            <w:vAlign w:val="center"/>
          </w:tcPr>
          <w:p w14:paraId="690EF968">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14.40</w:t>
            </w:r>
          </w:p>
        </w:tc>
      </w:tr>
      <w:tr w14:paraId="576F4E1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9" w:hRule="atLeast"/>
          <w:jc w:val="center"/>
        </w:trPr>
        <w:tc>
          <w:tcPr>
            <w:tcW w:w="1702" w:type="dxa"/>
            <w:vAlign w:val="center"/>
          </w:tcPr>
          <w:p w14:paraId="01EAB283">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室外</w:t>
            </w:r>
          </w:p>
        </w:tc>
        <w:tc>
          <w:tcPr>
            <w:tcW w:w="1703" w:type="dxa"/>
            <w:vAlign w:val="center"/>
          </w:tcPr>
          <w:p w14:paraId="23CEF1E1">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315</w:t>
            </w:r>
          </w:p>
        </w:tc>
        <w:tc>
          <w:tcPr>
            <w:tcW w:w="1703" w:type="dxa"/>
            <w:vAlign w:val="center"/>
          </w:tcPr>
          <w:p w14:paraId="5522179C">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29.28</w:t>
            </w:r>
          </w:p>
        </w:tc>
        <w:tc>
          <w:tcPr>
            <w:tcW w:w="1704" w:type="dxa"/>
            <w:vAlign w:val="center"/>
          </w:tcPr>
          <w:p w14:paraId="17F0A878">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3.66</w:t>
            </w:r>
          </w:p>
        </w:tc>
        <w:tc>
          <w:tcPr>
            <w:tcW w:w="1704" w:type="dxa"/>
            <w:vAlign w:val="center"/>
          </w:tcPr>
          <w:p w14:paraId="067BD38C">
            <w:pPr>
              <w:widowControl/>
              <w:spacing w:after="0" w:line="240" w:lineRule="auto"/>
              <w:jc w:val="center"/>
              <w:textAlignment w:val="center"/>
              <w:rPr>
                <w:rFonts w:ascii="宋体" w:hAnsi="宋体" w:eastAsia="宋体" w:cs="宋体"/>
                <w:kern w:val="0"/>
                <w:szCs w:val="21"/>
                <w:lang w:eastAsia="en-US" w:bidi="ar"/>
              </w:rPr>
            </w:pPr>
            <w:r>
              <w:rPr>
                <w:rFonts w:hint="eastAsia" w:ascii="宋体" w:hAnsi="宋体" w:eastAsia="宋体" w:cs="宋体"/>
                <w:kern w:val="0"/>
                <w:szCs w:val="21"/>
                <w:lang w:eastAsia="en-US" w:bidi="ar"/>
              </w:rPr>
              <w:t>8.46</w:t>
            </w:r>
          </w:p>
        </w:tc>
      </w:tr>
    </w:tbl>
    <w:p w14:paraId="6412C27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但是由于实际工作中没有对室内房屋按照HJ 1212提前密闭，因此室内空气氡检测可能存在偏差，因此本标准要求应严格参照HJ 1212开展空气氡检测工作。</w:t>
      </w:r>
    </w:p>
    <w:p w14:paraId="3EBAEC0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水体放射性在该项目中开展了水中总α、总β、水中氡测量，结果如下：</w:t>
      </w:r>
    </w:p>
    <w:tbl>
      <w:tblPr>
        <w:tblStyle w:val="1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085"/>
        <w:gridCol w:w="830"/>
        <w:gridCol w:w="1165"/>
        <w:gridCol w:w="804"/>
        <w:gridCol w:w="1221"/>
        <w:gridCol w:w="1015"/>
        <w:gridCol w:w="1019"/>
      </w:tblGrid>
      <w:tr w14:paraId="34C2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21" w:type="dxa"/>
            <w:vMerge w:val="restart"/>
            <w:vAlign w:val="center"/>
          </w:tcPr>
          <w:p w14:paraId="23FCB29D">
            <w:pPr>
              <w:jc w:val="center"/>
              <w:rPr>
                <w:rFonts w:ascii="Times New Roman" w:hAnsi="Times New Roman" w:cs="Times New Roman"/>
                <w:sz w:val="18"/>
                <w:szCs w:val="18"/>
              </w:rPr>
            </w:pPr>
            <w:r>
              <w:rPr>
                <w:rFonts w:ascii="Times New Roman" w:hAnsi="Times New Roman" w:cs="Times New Roman"/>
                <w:sz w:val="18"/>
                <w:szCs w:val="18"/>
              </w:rPr>
              <w:t>地理位置</w:t>
            </w:r>
          </w:p>
        </w:tc>
        <w:tc>
          <w:tcPr>
            <w:tcW w:w="1915" w:type="dxa"/>
            <w:gridSpan w:val="2"/>
            <w:vAlign w:val="center"/>
          </w:tcPr>
          <w:p w14:paraId="305CF91E">
            <w:pPr>
              <w:jc w:val="center"/>
              <w:rPr>
                <w:rFonts w:ascii="Times New Roman" w:hAnsi="Times New Roman" w:cs="Times New Roman"/>
                <w:sz w:val="18"/>
                <w:szCs w:val="18"/>
              </w:rPr>
            </w:pPr>
            <w:r>
              <w:rPr>
                <w:rFonts w:ascii="Times New Roman" w:hAnsi="Times New Roman" w:cs="Times New Roman"/>
                <w:sz w:val="18"/>
                <w:szCs w:val="18"/>
              </w:rPr>
              <w:t>总α（Bq/L）</w:t>
            </w:r>
          </w:p>
        </w:tc>
        <w:tc>
          <w:tcPr>
            <w:tcW w:w="1969" w:type="dxa"/>
            <w:gridSpan w:val="2"/>
            <w:vAlign w:val="center"/>
          </w:tcPr>
          <w:p w14:paraId="79CDC3B2">
            <w:pPr>
              <w:jc w:val="center"/>
              <w:rPr>
                <w:rFonts w:ascii="Times New Roman" w:hAnsi="Times New Roman" w:cs="Times New Roman"/>
                <w:sz w:val="18"/>
                <w:szCs w:val="18"/>
              </w:rPr>
            </w:pPr>
            <w:r>
              <w:rPr>
                <w:rFonts w:ascii="Times New Roman" w:hAnsi="Times New Roman" w:cs="Times New Roman"/>
                <w:sz w:val="18"/>
                <w:szCs w:val="18"/>
              </w:rPr>
              <w:t>总β（Bq/L）</w:t>
            </w:r>
          </w:p>
        </w:tc>
        <w:tc>
          <w:tcPr>
            <w:tcW w:w="2236" w:type="dxa"/>
            <w:gridSpan w:val="2"/>
            <w:vAlign w:val="center"/>
          </w:tcPr>
          <w:p w14:paraId="65D96EA9">
            <w:pPr>
              <w:jc w:val="center"/>
              <w:rPr>
                <w:rFonts w:ascii="Times New Roman" w:hAnsi="Times New Roman" w:cs="Times New Roman"/>
                <w:sz w:val="18"/>
                <w:szCs w:val="18"/>
              </w:rPr>
            </w:pPr>
            <w:r>
              <w:rPr>
                <w:rFonts w:ascii="Times New Roman" w:hAnsi="Times New Roman" w:cs="Times New Roman"/>
                <w:sz w:val="18"/>
                <w:szCs w:val="18"/>
                <w:vertAlign w:val="superscript"/>
              </w:rPr>
              <w:t>222</w:t>
            </w:r>
            <w:r>
              <w:rPr>
                <w:rFonts w:ascii="Times New Roman" w:hAnsi="Times New Roman" w:cs="Times New Roman"/>
                <w:sz w:val="18"/>
                <w:szCs w:val="18"/>
              </w:rPr>
              <w:t>Rn（Bq/L）</w:t>
            </w:r>
          </w:p>
        </w:tc>
        <w:tc>
          <w:tcPr>
            <w:tcW w:w="1019" w:type="dxa"/>
            <w:vAlign w:val="center"/>
          </w:tcPr>
          <w:p w14:paraId="617731EB">
            <w:pPr>
              <w:jc w:val="center"/>
              <w:rPr>
                <w:rFonts w:ascii="Times New Roman" w:hAnsi="Times New Roman" w:cs="Times New Roman"/>
                <w:sz w:val="18"/>
                <w:szCs w:val="18"/>
              </w:rPr>
            </w:pPr>
            <w:r>
              <w:rPr>
                <w:rFonts w:ascii="Times New Roman" w:hAnsi="Times New Roman" w:cs="Times New Roman"/>
                <w:sz w:val="18"/>
                <w:szCs w:val="18"/>
              </w:rPr>
              <w:t>备注</w:t>
            </w:r>
          </w:p>
        </w:tc>
      </w:tr>
      <w:tr w14:paraId="3FE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21" w:type="dxa"/>
            <w:vMerge w:val="continue"/>
            <w:vAlign w:val="center"/>
          </w:tcPr>
          <w:p w14:paraId="350F958E">
            <w:pPr>
              <w:jc w:val="center"/>
              <w:rPr>
                <w:rFonts w:ascii="Times New Roman" w:hAnsi="Times New Roman" w:cs="Times New Roman"/>
                <w:sz w:val="18"/>
                <w:szCs w:val="18"/>
              </w:rPr>
            </w:pPr>
          </w:p>
        </w:tc>
        <w:tc>
          <w:tcPr>
            <w:tcW w:w="1085" w:type="dxa"/>
            <w:vAlign w:val="center"/>
          </w:tcPr>
          <w:p w14:paraId="31E93384">
            <w:pPr>
              <w:jc w:val="center"/>
              <w:rPr>
                <w:rFonts w:ascii="Times New Roman" w:hAnsi="Times New Roman" w:cs="Times New Roman"/>
                <w:sz w:val="18"/>
                <w:szCs w:val="18"/>
              </w:rPr>
            </w:pPr>
            <w:r>
              <w:rPr>
                <w:rFonts w:ascii="Times New Roman" w:hAnsi="Times New Roman" w:cs="Times New Roman"/>
                <w:sz w:val="18"/>
                <w:szCs w:val="18"/>
              </w:rPr>
              <w:t>范围</w:t>
            </w:r>
          </w:p>
        </w:tc>
        <w:tc>
          <w:tcPr>
            <w:tcW w:w="830" w:type="dxa"/>
            <w:vAlign w:val="center"/>
          </w:tcPr>
          <w:p w14:paraId="5A6A1B01">
            <w:pPr>
              <w:jc w:val="center"/>
              <w:rPr>
                <w:rFonts w:ascii="Times New Roman" w:hAnsi="Times New Roman" w:cs="Times New Roman"/>
                <w:sz w:val="18"/>
                <w:szCs w:val="18"/>
              </w:rPr>
            </w:pPr>
            <w:r>
              <w:rPr>
                <w:rFonts w:ascii="Times New Roman" w:hAnsi="Times New Roman" w:cs="Times New Roman"/>
                <w:sz w:val="18"/>
                <w:szCs w:val="18"/>
              </w:rPr>
              <w:t>平均值</w:t>
            </w:r>
          </w:p>
        </w:tc>
        <w:tc>
          <w:tcPr>
            <w:tcW w:w="1165" w:type="dxa"/>
            <w:vAlign w:val="center"/>
          </w:tcPr>
          <w:p w14:paraId="339ADD37">
            <w:pPr>
              <w:jc w:val="center"/>
              <w:rPr>
                <w:rFonts w:ascii="Times New Roman" w:hAnsi="Times New Roman" w:cs="Times New Roman"/>
                <w:sz w:val="18"/>
                <w:szCs w:val="18"/>
              </w:rPr>
            </w:pPr>
            <w:r>
              <w:rPr>
                <w:rFonts w:ascii="Times New Roman" w:hAnsi="Times New Roman" w:cs="Times New Roman"/>
                <w:sz w:val="18"/>
                <w:szCs w:val="18"/>
              </w:rPr>
              <w:t>范围</w:t>
            </w:r>
          </w:p>
        </w:tc>
        <w:tc>
          <w:tcPr>
            <w:tcW w:w="804" w:type="dxa"/>
            <w:vAlign w:val="center"/>
          </w:tcPr>
          <w:p w14:paraId="57255761">
            <w:pPr>
              <w:jc w:val="center"/>
              <w:rPr>
                <w:rFonts w:ascii="Times New Roman" w:hAnsi="Times New Roman" w:cs="Times New Roman"/>
                <w:sz w:val="18"/>
                <w:szCs w:val="18"/>
              </w:rPr>
            </w:pPr>
            <w:r>
              <w:rPr>
                <w:rFonts w:ascii="Times New Roman" w:hAnsi="Times New Roman" w:cs="Times New Roman"/>
                <w:sz w:val="18"/>
                <w:szCs w:val="18"/>
              </w:rPr>
              <w:t>平均值</w:t>
            </w:r>
          </w:p>
        </w:tc>
        <w:tc>
          <w:tcPr>
            <w:tcW w:w="1221" w:type="dxa"/>
            <w:vAlign w:val="center"/>
          </w:tcPr>
          <w:p w14:paraId="4E95FA41">
            <w:pPr>
              <w:jc w:val="center"/>
              <w:rPr>
                <w:rFonts w:ascii="Times New Roman" w:hAnsi="Times New Roman" w:cs="Times New Roman"/>
                <w:sz w:val="18"/>
                <w:szCs w:val="18"/>
              </w:rPr>
            </w:pPr>
            <w:r>
              <w:rPr>
                <w:rFonts w:ascii="Times New Roman" w:hAnsi="Times New Roman" w:cs="Times New Roman"/>
                <w:sz w:val="18"/>
                <w:szCs w:val="18"/>
              </w:rPr>
              <w:t>范围</w:t>
            </w:r>
          </w:p>
        </w:tc>
        <w:tc>
          <w:tcPr>
            <w:tcW w:w="1015" w:type="dxa"/>
            <w:vAlign w:val="center"/>
          </w:tcPr>
          <w:p w14:paraId="6AAE7D88">
            <w:pPr>
              <w:jc w:val="center"/>
              <w:rPr>
                <w:rFonts w:ascii="Times New Roman" w:hAnsi="Times New Roman" w:cs="Times New Roman"/>
                <w:sz w:val="18"/>
                <w:szCs w:val="18"/>
              </w:rPr>
            </w:pPr>
            <w:r>
              <w:rPr>
                <w:rFonts w:ascii="Times New Roman" w:hAnsi="Times New Roman" w:cs="Times New Roman"/>
                <w:sz w:val="18"/>
                <w:szCs w:val="18"/>
              </w:rPr>
              <w:t>平均值</w:t>
            </w:r>
          </w:p>
        </w:tc>
        <w:tc>
          <w:tcPr>
            <w:tcW w:w="1019" w:type="dxa"/>
            <w:vAlign w:val="center"/>
          </w:tcPr>
          <w:p w14:paraId="4312B627">
            <w:pPr>
              <w:jc w:val="center"/>
              <w:rPr>
                <w:rFonts w:ascii="Times New Roman" w:hAnsi="Times New Roman" w:cs="Times New Roman"/>
                <w:sz w:val="18"/>
                <w:szCs w:val="18"/>
              </w:rPr>
            </w:pPr>
          </w:p>
        </w:tc>
      </w:tr>
      <w:tr w14:paraId="339D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621" w:type="dxa"/>
            <w:vAlign w:val="center"/>
          </w:tcPr>
          <w:p w14:paraId="7C77E134">
            <w:pPr>
              <w:jc w:val="center"/>
              <w:rPr>
                <w:rFonts w:ascii="Times New Roman" w:hAnsi="Times New Roman" w:eastAsia="宋体" w:cs="Times New Roman"/>
                <w:sz w:val="18"/>
                <w:szCs w:val="18"/>
              </w:rPr>
            </w:pPr>
            <w:r>
              <w:rPr>
                <w:rFonts w:ascii="Times New Roman" w:hAnsi="Times New Roman" w:cs="Times New Roman"/>
                <w:sz w:val="18"/>
                <w:szCs w:val="18"/>
              </w:rPr>
              <w:t>河水</w:t>
            </w:r>
          </w:p>
        </w:tc>
        <w:tc>
          <w:tcPr>
            <w:tcW w:w="1085" w:type="dxa"/>
            <w:vAlign w:val="center"/>
          </w:tcPr>
          <w:p w14:paraId="1E07894B">
            <w:pPr>
              <w:adjustRightInd w:val="0"/>
              <w:snapToGrid w:val="0"/>
              <w:jc w:val="center"/>
              <w:rPr>
                <w:rFonts w:ascii="Times New Roman" w:hAnsi="Times New Roman" w:eastAsia="宋体" w:cs="Times New Roman"/>
                <w:sz w:val="18"/>
                <w:szCs w:val="18"/>
              </w:rPr>
            </w:pPr>
            <w:r>
              <w:rPr>
                <w:rFonts w:hint="eastAsia" w:cs="Times New Roman"/>
                <w:sz w:val="18"/>
                <w:szCs w:val="18"/>
              </w:rPr>
              <w:t>0.36~0.44</w:t>
            </w:r>
          </w:p>
        </w:tc>
        <w:tc>
          <w:tcPr>
            <w:tcW w:w="830" w:type="dxa"/>
            <w:vAlign w:val="center"/>
          </w:tcPr>
          <w:p w14:paraId="222AD066">
            <w:pPr>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0.</w:t>
            </w:r>
            <w:r>
              <w:rPr>
                <w:rFonts w:hint="eastAsia" w:cs="Times New Roman"/>
                <w:sz w:val="18"/>
                <w:szCs w:val="18"/>
              </w:rPr>
              <w:t>40</w:t>
            </w:r>
          </w:p>
        </w:tc>
        <w:tc>
          <w:tcPr>
            <w:tcW w:w="1165" w:type="dxa"/>
            <w:vAlign w:val="center"/>
          </w:tcPr>
          <w:p w14:paraId="5F899DD6">
            <w:pPr>
              <w:adjustRightInd w:val="0"/>
              <w:snapToGrid w:val="0"/>
              <w:jc w:val="center"/>
              <w:rPr>
                <w:rFonts w:ascii="Times New Roman" w:hAnsi="Times New Roman" w:eastAsia="宋体" w:cs="Times New Roman"/>
                <w:sz w:val="18"/>
                <w:szCs w:val="18"/>
              </w:rPr>
            </w:pPr>
            <w:r>
              <w:rPr>
                <w:rFonts w:hint="eastAsia" w:cs="Times New Roman"/>
                <w:sz w:val="18"/>
                <w:szCs w:val="18"/>
              </w:rPr>
              <w:t>0.08~0.10</w:t>
            </w:r>
          </w:p>
        </w:tc>
        <w:tc>
          <w:tcPr>
            <w:tcW w:w="804" w:type="dxa"/>
            <w:vAlign w:val="center"/>
          </w:tcPr>
          <w:p w14:paraId="3D791134">
            <w:pPr>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0.</w:t>
            </w:r>
            <w:r>
              <w:rPr>
                <w:rFonts w:hint="eastAsia" w:cs="Times New Roman"/>
                <w:sz w:val="18"/>
                <w:szCs w:val="18"/>
              </w:rPr>
              <w:t>09</w:t>
            </w:r>
          </w:p>
        </w:tc>
        <w:tc>
          <w:tcPr>
            <w:tcW w:w="1221" w:type="dxa"/>
            <w:vAlign w:val="center"/>
          </w:tcPr>
          <w:p w14:paraId="6895D865">
            <w:pPr>
              <w:adjustRightInd w:val="0"/>
              <w:snapToGrid w:val="0"/>
              <w:jc w:val="center"/>
              <w:rPr>
                <w:rFonts w:ascii="Times New Roman" w:hAnsi="Times New Roman" w:eastAsia="宋体" w:cs="Times New Roman"/>
                <w:sz w:val="18"/>
                <w:szCs w:val="18"/>
              </w:rPr>
            </w:pPr>
            <w:r>
              <w:rPr>
                <w:rFonts w:hint="eastAsia" w:cs="Times New Roman"/>
                <w:sz w:val="18"/>
                <w:szCs w:val="18"/>
              </w:rPr>
              <w:t>2.08</w:t>
            </w:r>
          </w:p>
        </w:tc>
        <w:tc>
          <w:tcPr>
            <w:tcW w:w="1015" w:type="dxa"/>
            <w:vAlign w:val="center"/>
          </w:tcPr>
          <w:p w14:paraId="579B9918">
            <w:pPr>
              <w:adjustRightInd w:val="0"/>
              <w:snapToGrid w:val="0"/>
              <w:jc w:val="center"/>
              <w:rPr>
                <w:rFonts w:ascii="Times New Roman" w:hAnsi="Times New Roman" w:eastAsia="宋体" w:cs="Times New Roman"/>
                <w:sz w:val="18"/>
                <w:szCs w:val="18"/>
              </w:rPr>
            </w:pPr>
            <w:r>
              <w:rPr>
                <w:rFonts w:hint="eastAsia" w:cs="Times New Roman"/>
                <w:sz w:val="18"/>
                <w:szCs w:val="18"/>
              </w:rPr>
              <w:t>2.08</w:t>
            </w:r>
          </w:p>
        </w:tc>
        <w:tc>
          <w:tcPr>
            <w:tcW w:w="1019" w:type="dxa"/>
            <w:vAlign w:val="center"/>
          </w:tcPr>
          <w:p w14:paraId="074D17F9">
            <w:pPr>
              <w:adjustRightInd w:val="0"/>
              <w:snapToGrid w:val="0"/>
              <w:jc w:val="center"/>
              <w:rPr>
                <w:rFonts w:ascii="Times New Roman" w:hAnsi="Times New Roman" w:eastAsia="宋体" w:cs="Times New Roman"/>
                <w:sz w:val="18"/>
                <w:szCs w:val="18"/>
              </w:rPr>
            </w:pPr>
          </w:p>
        </w:tc>
      </w:tr>
      <w:tr w14:paraId="383D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621" w:type="dxa"/>
            <w:vAlign w:val="center"/>
          </w:tcPr>
          <w:p w14:paraId="34D1A535">
            <w:pPr>
              <w:jc w:val="center"/>
              <w:rPr>
                <w:rFonts w:ascii="Times New Roman" w:hAnsi="Times New Roman" w:eastAsia="宋体" w:cs="Times New Roman"/>
                <w:sz w:val="18"/>
                <w:szCs w:val="18"/>
              </w:rPr>
            </w:pPr>
            <w:r>
              <w:rPr>
                <w:rFonts w:ascii="Times New Roman" w:hAnsi="Times New Roman" w:cs="Times New Roman"/>
                <w:sz w:val="18"/>
                <w:szCs w:val="18"/>
              </w:rPr>
              <w:t>井水</w:t>
            </w:r>
          </w:p>
        </w:tc>
        <w:tc>
          <w:tcPr>
            <w:tcW w:w="1085" w:type="dxa"/>
            <w:vAlign w:val="center"/>
          </w:tcPr>
          <w:p w14:paraId="69BBB5CC">
            <w:pPr>
              <w:adjustRightInd w:val="0"/>
              <w:snapToGrid w:val="0"/>
              <w:jc w:val="center"/>
              <w:rPr>
                <w:rFonts w:ascii="Times New Roman" w:hAnsi="Times New Roman" w:eastAsia="宋体" w:cs="Times New Roman"/>
                <w:sz w:val="18"/>
                <w:szCs w:val="18"/>
              </w:rPr>
            </w:pPr>
            <w:r>
              <w:rPr>
                <w:rFonts w:hint="eastAsia" w:cs="Times New Roman"/>
                <w:sz w:val="18"/>
                <w:szCs w:val="18"/>
              </w:rPr>
              <w:t>0.14~3.46</w:t>
            </w:r>
          </w:p>
        </w:tc>
        <w:tc>
          <w:tcPr>
            <w:tcW w:w="830" w:type="dxa"/>
            <w:vAlign w:val="center"/>
          </w:tcPr>
          <w:p w14:paraId="613A4141">
            <w:pPr>
              <w:adjustRightInd w:val="0"/>
              <w:snapToGrid w:val="0"/>
              <w:jc w:val="center"/>
              <w:rPr>
                <w:rFonts w:ascii="Times New Roman" w:hAnsi="Times New Roman" w:cs="Times New Roman"/>
                <w:sz w:val="18"/>
                <w:szCs w:val="18"/>
              </w:rPr>
            </w:pPr>
            <w:r>
              <w:rPr>
                <w:rFonts w:hint="eastAsia" w:cs="Times New Roman"/>
                <w:sz w:val="18"/>
                <w:szCs w:val="18"/>
              </w:rPr>
              <w:t>1.07</w:t>
            </w:r>
          </w:p>
        </w:tc>
        <w:tc>
          <w:tcPr>
            <w:tcW w:w="1165" w:type="dxa"/>
            <w:vAlign w:val="center"/>
          </w:tcPr>
          <w:p w14:paraId="12E634E8">
            <w:pPr>
              <w:adjustRightInd w:val="0"/>
              <w:snapToGrid w:val="0"/>
              <w:jc w:val="center"/>
              <w:rPr>
                <w:rFonts w:ascii="Times New Roman" w:hAnsi="Times New Roman" w:eastAsia="宋体" w:cs="Times New Roman"/>
                <w:sz w:val="18"/>
                <w:szCs w:val="18"/>
              </w:rPr>
            </w:pPr>
            <w:r>
              <w:rPr>
                <w:rFonts w:hint="eastAsia" w:cs="Times New Roman"/>
                <w:sz w:val="18"/>
                <w:szCs w:val="18"/>
              </w:rPr>
              <w:t>0.13~0.96</w:t>
            </w:r>
          </w:p>
        </w:tc>
        <w:tc>
          <w:tcPr>
            <w:tcW w:w="804" w:type="dxa"/>
            <w:vAlign w:val="center"/>
          </w:tcPr>
          <w:p w14:paraId="2488570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0.</w:t>
            </w:r>
            <w:r>
              <w:rPr>
                <w:rFonts w:hint="eastAsia" w:cs="Times New Roman"/>
                <w:sz w:val="18"/>
                <w:szCs w:val="18"/>
              </w:rPr>
              <w:t>35</w:t>
            </w:r>
          </w:p>
        </w:tc>
        <w:tc>
          <w:tcPr>
            <w:tcW w:w="1221" w:type="dxa"/>
            <w:vAlign w:val="center"/>
          </w:tcPr>
          <w:p w14:paraId="1D7FDB4C">
            <w:pPr>
              <w:adjustRightInd w:val="0"/>
              <w:snapToGrid w:val="0"/>
              <w:jc w:val="center"/>
              <w:rPr>
                <w:rFonts w:ascii="Times New Roman" w:hAnsi="Times New Roman" w:eastAsia="宋体" w:cs="Times New Roman"/>
                <w:sz w:val="18"/>
                <w:szCs w:val="18"/>
              </w:rPr>
            </w:pPr>
            <w:r>
              <w:rPr>
                <w:rFonts w:hint="eastAsia" w:cs="Times New Roman"/>
                <w:sz w:val="18"/>
                <w:szCs w:val="18"/>
              </w:rPr>
              <w:t>6.67~29.99</w:t>
            </w:r>
          </w:p>
        </w:tc>
        <w:tc>
          <w:tcPr>
            <w:tcW w:w="1015" w:type="dxa"/>
            <w:vAlign w:val="center"/>
          </w:tcPr>
          <w:p w14:paraId="4D0CC315">
            <w:pPr>
              <w:adjustRightInd w:val="0"/>
              <w:snapToGrid w:val="0"/>
              <w:jc w:val="center"/>
              <w:rPr>
                <w:rFonts w:ascii="Times New Roman" w:hAnsi="Times New Roman" w:eastAsia="宋体" w:cs="Times New Roman"/>
                <w:sz w:val="18"/>
                <w:szCs w:val="18"/>
              </w:rPr>
            </w:pPr>
            <w:r>
              <w:rPr>
                <w:rFonts w:hint="eastAsia" w:cs="Times New Roman"/>
                <w:sz w:val="18"/>
                <w:szCs w:val="18"/>
              </w:rPr>
              <w:t>16.43</w:t>
            </w:r>
          </w:p>
        </w:tc>
        <w:tc>
          <w:tcPr>
            <w:tcW w:w="1019" w:type="dxa"/>
            <w:vAlign w:val="center"/>
          </w:tcPr>
          <w:p w14:paraId="7DA4D99D">
            <w:pPr>
              <w:adjustRightInd w:val="0"/>
              <w:snapToGrid w:val="0"/>
              <w:jc w:val="center"/>
              <w:rPr>
                <w:rFonts w:ascii="Times New Roman" w:hAnsi="Times New Roman" w:cs="Times New Roman"/>
                <w:sz w:val="18"/>
                <w:szCs w:val="18"/>
              </w:rPr>
            </w:pPr>
          </w:p>
        </w:tc>
      </w:tr>
      <w:tr w14:paraId="60A0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621" w:type="dxa"/>
            <w:vAlign w:val="center"/>
          </w:tcPr>
          <w:p w14:paraId="21ACE881">
            <w:pPr>
              <w:jc w:val="center"/>
              <w:rPr>
                <w:rFonts w:ascii="Times New Roman" w:hAnsi="Times New Roman" w:cs="Times New Roman"/>
                <w:sz w:val="18"/>
                <w:szCs w:val="18"/>
              </w:rPr>
            </w:pPr>
            <w:r>
              <w:rPr>
                <w:rFonts w:ascii="Times New Roman" w:hAnsi="Times New Roman" w:cs="Times New Roman"/>
                <w:sz w:val="18"/>
                <w:szCs w:val="18"/>
              </w:rPr>
              <w:t>饮用水指标</w:t>
            </w:r>
          </w:p>
        </w:tc>
        <w:tc>
          <w:tcPr>
            <w:tcW w:w="1085" w:type="dxa"/>
            <w:vAlign w:val="center"/>
          </w:tcPr>
          <w:p w14:paraId="01605477">
            <w:pPr>
              <w:adjustRightInd w:val="0"/>
              <w:snapToGrid w:val="0"/>
              <w:jc w:val="center"/>
              <w:rPr>
                <w:rFonts w:ascii="Times New Roman" w:hAnsi="Times New Roman" w:cs="Times New Roman"/>
                <w:sz w:val="18"/>
                <w:szCs w:val="18"/>
              </w:rPr>
            </w:pPr>
          </w:p>
        </w:tc>
        <w:tc>
          <w:tcPr>
            <w:tcW w:w="830" w:type="dxa"/>
            <w:vAlign w:val="center"/>
          </w:tcPr>
          <w:p w14:paraId="6795042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&lt;0.5</w:t>
            </w:r>
          </w:p>
        </w:tc>
        <w:tc>
          <w:tcPr>
            <w:tcW w:w="1165" w:type="dxa"/>
            <w:vAlign w:val="center"/>
          </w:tcPr>
          <w:p w14:paraId="5ACD9C2B">
            <w:pPr>
              <w:adjustRightInd w:val="0"/>
              <w:snapToGrid w:val="0"/>
              <w:jc w:val="center"/>
              <w:rPr>
                <w:rFonts w:ascii="Times New Roman" w:hAnsi="Times New Roman" w:cs="Times New Roman"/>
                <w:sz w:val="18"/>
                <w:szCs w:val="18"/>
              </w:rPr>
            </w:pPr>
          </w:p>
        </w:tc>
        <w:tc>
          <w:tcPr>
            <w:tcW w:w="804" w:type="dxa"/>
            <w:vAlign w:val="center"/>
          </w:tcPr>
          <w:p w14:paraId="1CED0BEB">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&lt;1</w:t>
            </w:r>
          </w:p>
        </w:tc>
        <w:tc>
          <w:tcPr>
            <w:tcW w:w="1221" w:type="dxa"/>
            <w:vAlign w:val="center"/>
          </w:tcPr>
          <w:p w14:paraId="4CEEF83C">
            <w:pPr>
              <w:adjustRightInd w:val="0"/>
              <w:snapToGrid w:val="0"/>
              <w:jc w:val="center"/>
              <w:rPr>
                <w:rFonts w:ascii="Times New Roman" w:hAnsi="Times New Roman" w:cs="Times New Roman"/>
                <w:sz w:val="18"/>
                <w:szCs w:val="18"/>
              </w:rPr>
            </w:pPr>
          </w:p>
        </w:tc>
        <w:tc>
          <w:tcPr>
            <w:tcW w:w="1015" w:type="dxa"/>
            <w:vAlign w:val="center"/>
          </w:tcPr>
          <w:p w14:paraId="06B5E2A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&lt;11.1</w:t>
            </w:r>
          </w:p>
        </w:tc>
        <w:tc>
          <w:tcPr>
            <w:tcW w:w="1019" w:type="dxa"/>
            <w:vAlign w:val="center"/>
          </w:tcPr>
          <w:p w14:paraId="0AC5C843">
            <w:pPr>
              <w:adjustRightInd w:val="0"/>
              <w:snapToGrid w:val="0"/>
              <w:jc w:val="center"/>
              <w:rPr>
                <w:rFonts w:ascii="Times New Roman" w:hAnsi="Times New Roman" w:cs="Times New Roman"/>
                <w:sz w:val="18"/>
                <w:szCs w:val="18"/>
              </w:rPr>
            </w:pPr>
          </w:p>
        </w:tc>
      </w:tr>
      <w:tr w14:paraId="6930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621" w:type="dxa"/>
            <w:vAlign w:val="center"/>
          </w:tcPr>
          <w:p w14:paraId="07B90EB5">
            <w:pPr>
              <w:jc w:val="center"/>
              <w:rPr>
                <w:rFonts w:ascii="Times New Roman" w:hAnsi="Times New Roman" w:cs="Times New Roman"/>
                <w:sz w:val="18"/>
                <w:szCs w:val="18"/>
              </w:rPr>
            </w:pPr>
            <w:r>
              <w:rPr>
                <w:rFonts w:ascii="Times New Roman" w:hAnsi="Times New Roman" w:cs="Times New Roman"/>
                <w:sz w:val="18"/>
                <w:szCs w:val="18"/>
              </w:rPr>
              <w:t>污水排放指标</w:t>
            </w:r>
          </w:p>
        </w:tc>
        <w:tc>
          <w:tcPr>
            <w:tcW w:w="1085" w:type="dxa"/>
            <w:vAlign w:val="center"/>
          </w:tcPr>
          <w:p w14:paraId="6175FCEF">
            <w:pPr>
              <w:adjustRightInd w:val="0"/>
              <w:snapToGrid w:val="0"/>
              <w:jc w:val="center"/>
              <w:rPr>
                <w:rFonts w:ascii="Times New Roman" w:hAnsi="Times New Roman" w:cs="Times New Roman"/>
                <w:sz w:val="18"/>
                <w:szCs w:val="18"/>
              </w:rPr>
            </w:pPr>
          </w:p>
        </w:tc>
        <w:tc>
          <w:tcPr>
            <w:tcW w:w="830" w:type="dxa"/>
            <w:vAlign w:val="center"/>
          </w:tcPr>
          <w:p w14:paraId="06754C1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&lt;1</w:t>
            </w:r>
          </w:p>
        </w:tc>
        <w:tc>
          <w:tcPr>
            <w:tcW w:w="1165" w:type="dxa"/>
            <w:vAlign w:val="center"/>
          </w:tcPr>
          <w:p w14:paraId="5CF50471">
            <w:pPr>
              <w:adjustRightInd w:val="0"/>
              <w:snapToGrid w:val="0"/>
              <w:jc w:val="center"/>
              <w:rPr>
                <w:rFonts w:ascii="Times New Roman" w:hAnsi="Times New Roman" w:cs="Times New Roman"/>
                <w:sz w:val="18"/>
                <w:szCs w:val="18"/>
              </w:rPr>
            </w:pPr>
          </w:p>
        </w:tc>
        <w:tc>
          <w:tcPr>
            <w:tcW w:w="804" w:type="dxa"/>
            <w:vAlign w:val="center"/>
          </w:tcPr>
          <w:p w14:paraId="3EB84715">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&lt;10</w:t>
            </w:r>
          </w:p>
        </w:tc>
        <w:tc>
          <w:tcPr>
            <w:tcW w:w="1221" w:type="dxa"/>
            <w:vAlign w:val="center"/>
          </w:tcPr>
          <w:p w14:paraId="3E8BB6E9">
            <w:pPr>
              <w:adjustRightInd w:val="0"/>
              <w:snapToGrid w:val="0"/>
              <w:jc w:val="center"/>
              <w:rPr>
                <w:rFonts w:ascii="Times New Roman" w:hAnsi="Times New Roman" w:cs="Times New Roman"/>
                <w:sz w:val="18"/>
                <w:szCs w:val="18"/>
              </w:rPr>
            </w:pPr>
          </w:p>
        </w:tc>
        <w:tc>
          <w:tcPr>
            <w:tcW w:w="1015" w:type="dxa"/>
            <w:vAlign w:val="center"/>
          </w:tcPr>
          <w:p w14:paraId="10F4F106">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&lt;400</w:t>
            </w:r>
          </w:p>
        </w:tc>
        <w:tc>
          <w:tcPr>
            <w:tcW w:w="1019" w:type="dxa"/>
            <w:vAlign w:val="center"/>
          </w:tcPr>
          <w:p w14:paraId="1FCF27A2">
            <w:pPr>
              <w:adjustRightInd w:val="0"/>
              <w:snapToGrid w:val="0"/>
              <w:jc w:val="center"/>
              <w:rPr>
                <w:rFonts w:ascii="Times New Roman" w:hAnsi="Times New Roman" w:cs="Times New Roman"/>
                <w:sz w:val="18"/>
                <w:szCs w:val="18"/>
              </w:rPr>
            </w:pPr>
          </w:p>
        </w:tc>
      </w:tr>
    </w:tbl>
    <w:p w14:paraId="77EF4F5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总α、总β结果显示有部分的井水的检测结果超过国家限值，因此总放射性的检测十分重要，且有进一步开展γ核素检测的必要性。因此本标准指出：需要对水体开展总α、总β、U、Th、</w:t>
      </w:r>
      <w:r>
        <w:rPr>
          <w:rFonts w:hint="eastAsia" w:ascii="仿宋_GB2312" w:hAnsi="仿宋_GB2312" w:eastAsia="仿宋_GB2312" w:cs="仿宋_GB2312"/>
          <w:sz w:val="28"/>
          <w:szCs w:val="28"/>
          <w:vertAlign w:val="superscript"/>
        </w:rPr>
        <w:t>226</w:t>
      </w:r>
      <w:r>
        <w:rPr>
          <w:rFonts w:hint="eastAsia" w:ascii="仿宋_GB2312" w:hAnsi="仿宋_GB2312" w:eastAsia="仿宋_GB2312" w:cs="仿宋_GB2312"/>
          <w:sz w:val="28"/>
          <w:szCs w:val="28"/>
        </w:rPr>
        <w:t>Ra的检测，且若总α、总β超过GB 5749规定的饮用水指导值，则加测γ能谱，地表水、饮用水源地再加测</w:t>
      </w:r>
      <w:r>
        <w:rPr>
          <w:rFonts w:hint="eastAsia" w:ascii="仿宋_GB2312" w:hAnsi="仿宋_GB2312" w:eastAsia="仿宋_GB2312" w:cs="仿宋_GB2312"/>
          <w:sz w:val="28"/>
          <w:szCs w:val="28"/>
          <w:vertAlign w:val="superscript"/>
        </w:rPr>
        <w:t>228</w:t>
      </w:r>
      <w:r>
        <w:rPr>
          <w:rFonts w:hint="eastAsia" w:ascii="仿宋_GB2312" w:hAnsi="仿宋_GB2312" w:eastAsia="仿宋_GB2312" w:cs="仿宋_GB2312"/>
          <w:sz w:val="28"/>
          <w:szCs w:val="28"/>
        </w:rPr>
        <w:t>Ra。</w:t>
      </w:r>
    </w:p>
    <w:p w14:paraId="32C44F85">
      <w:pPr>
        <w:spacing w:line="360" w:lineRule="auto"/>
        <w:jc w:val="center"/>
        <w:rPr>
          <w:sz w:val="24"/>
        </w:rPr>
      </w:pPr>
      <w:r>
        <w:rPr>
          <w:b/>
          <w:bCs/>
          <w:szCs w:val="21"/>
        </w:rPr>
        <w:t>表</w:t>
      </w:r>
      <w:r>
        <w:rPr>
          <w:rFonts w:hint="eastAsia" w:ascii="Times New Roman" w:hAnsi="Times New Roman"/>
          <w:b/>
          <w:bCs/>
          <w:szCs w:val="21"/>
        </w:rPr>
        <w:t>3-</w:t>
      </w:r>
      <w:r>
        <w:rPr>
          <w:rFonts w:hint="eastAsia"/>
          <w:b/>
          <w:bCs/>
          <w:szCs w:val="21"/>
        </w:rPr>
        <w:t xml:space="preserve">34 </w:t>
      </w:r>
      <w:r>
        <w:rPr>
          <w:b/>
          <w:bCs/>
          <w:szCs w:val="21"/>
        </w:rPr>
        <w:t xml:space="preserve"> </w:t>
      </w:r>
      <w:r>
        <w:rPr>
          <w:rFonts w:hint="eastAsia"/>
          <w:b/>
          <w:bCs/>
          <w:szCs w:val="21"/>
        </w:rPr>
        <w:t>中卫地区</w:t>
      </w:r>
      <w:r>
        <w:rPr>
          <w:b/>
          <w:bCs/>
          <w:szCs w:val="21"/>
        </w:rPr>
        <w:t>水中氡浓度测量数据统计表</w:t>
      </w:r>
    </w:p>
    <w:tbl>
      <w:tblPr>
        <w:tblStyle w:val="15"/>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102"/>
        <w:gridCol w:w="1551"/>
        <w:gridCol w:w="1200"/>
        <w:gridCol w:w="1653"/>
        <w:gridCol w:w="1387"/>
      </w:tblGrid>
      <w:tr w14:paraId="0EB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347" w:type="dxa"/>
            <w:tcBorders>
              <w:top w:val="single" w:color="auto" w:sz="8" w:space="0"/>
              <w:left w:val="single" w:color="auto" w:sz="8" w:space="0"/>
            </w:tcBorders>
            <w:vAlign w:val="center"/>
          </w:tcPr>
          <w:p w14:paraId="302B65BA">
            <w:pPr>
              <w:jc w:val="center"/>
              <w:rPr>
                <w:sz w:val="18"/>
                <w:szCs w:val="18"/>
              </w:rPr>
            </w:pPr>
            <w:r>
              <w:rPr>
                <w:sz w:val="18"/>
                <w:szCs w:val="18"/>
              </w:rPr>
              <w:t>水体类型</w:t>
            </w:r>
          </w:p>
        </w:tc>
        <w:tc>
          <w:tcPr>
            <w:tcW w:w="1102" w:type="dxa"/>
            <w:tcBorders>
              <w:top w:val="single" w:color="auto" w:sz="8" w:space="0"/>
            </w:tcBorders>
            <w:vAlign w:val="center"/>
          </w:tcPr>
          <w:p w14:paraId="0BEA6432">
            <w:pPr>
              <w:jc w:val="center"/>
              <w:rPr>
                <w:sz w:val="18"/>
                <w:szCs w:val="18"/>
              </w:rPr>
            </w:pPr>
            <w:r>
              <w:rPr>
                <w:sz w:val="18"/>
                <w:szCs w:val="18"/>
              </w:rPr>
              <w:t>测点数</w:t>
            </w:r>
          </w:p>
        </w:tc>
        <w:tc>
          <w:tcPr>
            <w:tcW w:w="1551" w:type="dxa"/>
            <w:tcBorders>
              <w:top w:val="single" w:color="auto" w:sz="8" w:space="0"/>
            </w:tcBorders>
            <w:vAlign w:val="center"/>
          </w:tcPr>
          <w:p w14:paraId="3A127A8D">
            <w:pPr>
              <w:jc w:val="center"/>
              <w:rPr>
                <w:sz w:val="18"/>
                <w:szCs w:val="18"/>
              </w:rPr>
            </w:pPr>
            <w:r>
              <w:rPr>
                <w:sz w:val="18"/>
                <w:szCs w:val="18"/>
              </w:rPr>
              <w:t>浓度范围（Bq/L）</w:t>
            </w:r>
          </w:p>
        </w:tc>
        <w:tc>
          <w:tcPr>
            <w:tcW w:w="1200" w:type="dxa"/>
            <w:tcBorders>
              <w:top w:val="single" w:color="auto" w:sz="8" w:space="0"/>
            </w:tcBorders>
            <w:vAlign w:val="center"/>
          </w:tcPr>
          <w:p w14:paraId="71F44963">
            <w:pPr>
              <w:jc w:val="center"/>
              <w:rPr>
                <w:sz w:val="18"/>
                <w:szCs w:val="18"/>
              </w:rPr>
            </w:pPr>
            <w:r>
              <w:rPr>
                <w:sz w:val="18"/>
                <w:szCs w:val="18"/>
              </w:rPr>
              <w:t>平均值（Bq/L）</w:t>
            </w:r>
          </w:p>
        </w:tc>
        <w:tc>
          <w:tcPr>
            <w:tcW w:w="1653" w:type="dxa"/>
            <w:tcBorders>
              <w:top w:val="single" w:color="auto" w:sz="8" w:space="0"/>
            </w:tcBorders>
            <w:vAlign w:val="center"/>
          </w:tcPr>
          <w:p w14:paraId="43B056D2">
            <w:pPr>
              <w:jc w:val="center"/>
              <w:rPr>
                <w:sz w:val="18"/>
                <w:szCs w:val="18"/>
              </w:rPr>
            </w:pPr>
            <w:r>
              <w:rPr>
                <w:sz w:val="18"/>
                <w:szCs w:val="18"/>
              </w:rPr>
              <w:t>水体用途</w:t>
            </w:r>
          </w:p>
        </w:tc>
        <w:tc>
          <w:tcPr>
            <w:tcW w:w="1387" w:type="dxa"/>
            <w:tcBorders>
              <w:top w:val="single" w:color="auto" w:sz="8" w:space="0"/>
              <w:right w:val="single" w:color="auto" w:sz="8" w:space="0"/>
            </w:tcBorders>
            <w:vAlign w:val="center"/>
          </w:tcPr>
          <w:p w14:paraId="5EFF99DE">
            <w:pPr>
              <w:jc w:val="center"/>
              <w:rPr>
                <w:sz w:val="18"/>
                <w:szCs w:val="18"/>
              </w:rPr>
            </w:pPr>
            <w:r>
              <w:rPr>
                <w:sz w:val="18"/>
                <w:szCs w:val="18"/>
              </w:rPr>
              <w:t>限值（Bq/L）</w:t>
            </w:r>
          </w:p>
        </w:tc>
      </w:tr>
      <w:tr w14:paraId="274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347" w:type="dxa"/>
            <w:tcBorders>
              <w:left w:val="single" w:color="auto" w:sz="8" w:space="0"/>
            </w:tcBorders>
            <w:vAlign w:val="center"/>
          </w:tcPr>
          <w:p w14:paraId="4745D992">
            <w:pPr>
              <w:jc w:val="center"/>
              <w:rPr>
                <w:sz w:val="18"/>
                <w:szCs w:val="18"/>
              </w:rPr>
            </w:pPr>
            <w:r>
              <w:rPr>
                <w:sz w:val="18"/>
                <w:szCs w:val="18"/>
              </w:rPr>
              <w:t>自来水</w:t>
            </w:r>
          </w:p>
        </w:tc>
        <w:tc>
          <w:tcPr>
            <w:tcW w:w="1102" w:type="dxa"/>
            <w:vAlign w:val="center"/>
          </w:tcPr>
          <w:p w14:paraId="5DB88E9A">
            <w:pPr>
              <w:jc w:val="center"/>
              <w:rPr>
                <w:rFonts w:eastAsia="宋体"/>
                <w:sz w:val="18"/>
                <w:szCs w:val="18"/>
              </w:rPr>
            </w:pPr>
            <w:r>
              <w:rPr>
                <w:rFonts w:hint="eastAsia"/>
                <w:sz w:val="18"/>
                <w:szCs w:val="18"/>
              </w:rPr>
              <w:t>7</w:t>
            </w:r>
          </w:p>
        </w:tc>
        <w:tc>
          <w:tcPr>
            <w:tcW w:w="1551" w:type="dxa"/>
            <w:vAlign w:val="center"/>
          </w:tcPr>
          <w:p w14:paraId="0C439E9D">
            <w:pPr>
              <w:jc w:val="center"/>
              <w:rPr>
                <w:rFonts w:eastAsia="宋体"/>
                <w:sz w:val="18"/>
                <w:szCs w:val="18"/>
              </w:rPr>
            </w:pPr>
            <w:r>
              <w:rPr>
                <w:rFonts w:hint="eastAsia"/>
                <w:sz w:val="18"/>
                <w:szCs w:val="18"/>
              </w:rPr>
              <w:t>0.68~3.25</w:t>
            </w:r>
          </w:p>
        </w:tc>
        <w:tc>
          <w:tcPr>
            <w:tcW w:w="1200" w:type="dxa"/>
            <w:vAlign w:val="center"/>
          </w:tcPr>
          <w:p w14:paraId="19289965">
            <w:pPr>
              <w:jc w:val="center"/>
              <w:rPr>
                <w:rFonts w:eastAsia="宋体"/>
                <w:sz w:val="18"/>
                <w:szCs w:val="18"/>
              </w:rPr>
            </w:pPr>
            <w:r>
              <w:rPr>
                <w:rFonts w:hint="eastAsia"/>
                <w:sz w:val="18"/>
                <w:szCs w:val="18"/>
              </w:rPr>
              <w:t>2.03</w:t>
            </w:r>
          </w:p>
        </w:tc>
        <w:tc>
          <w:tcPr>
            <w:tcW w:w="1653" w:type="dxa"/>
            <w:vAlign w:val="center"/>
          </w:tcPr>
          <w:p w14:paraId="45917F8C">
            <w:pPr>
              <w:jc w:val="center"/>
              <w:rPr>
                <w:sz w:val="18"/>
                <w:szCs w:val="18"/>
              </w:rPr>
            </w:pPr>
            <w:r>
              <w:rPr>
                <w:kern w:val="0"/>
                <w:sz w:val="18"/>
                <w:szCs w:val="18"/>
                <w:lang w:bidi="ar"/>
              </w:rPr>
              <w:t>居民饮用水</w:t>
            </w:r>
          </w:p>
        </w:tc>
        <w:tc>
          <w:tcPr>
            <w:tcW w:w="1387" w:type="dxa"/>
            <w:vMerge w:val="restart"/>
            <w:tcBorders>
              <w:right w:val="single" w:color="auto" w:sz="8" w:space="0"/>
            </w:tcBorders>
            <w:vAlign w:val="center"/>
          </w:tcPr>
          <w:p w14:paraId="79D6FF1D">
            <w:pPr>
              <w:jc w:val="center"/>
              <w:rPr>
                <w:kern w:val="0"/>
                <w:sz w:val="18"/>
                <w:szCs w:val="18"/>
                <w:lang w:bidi="ar"/>
              </w:rPr>
            </w:pPr>
            <w:r>
              <w:rPr>
                <w:kern w:val="0"/>
                <w:sz w:val="18"/>
                <w:szCs w:val="18"/>
                <w:lang w:bidi="ar"/>
              </w:rPr>
              <w:t>饮用水</w:t>
            </w:r>
            <w:r>
              <w:rPr>
                <w:rFonts w:hint="eastAsia"/>
                <w:kern w:val="0"/>
                <w:sz w:val="18"/>
                <w:szCs w:val="18"/>
                <w:lang w:bidi="ar"/>
              </w:rPr>
              <w:t>：</w:t>
            </w:r>
            <w:r>
              <w:rPr>
                <w:rFonts w:ascii="Times New Roman" w:hAnsi="Times New Roman"/>
                <w:kern w:val="0"/>
                <w:sz w:val="18"/>
                <w:szCs w:val="18"/>
                <w:lang w:bidi="ar"/>
              </w:rPr>
              <w:t>11</w:t>
            </w:r>
            <w:r>
              <w:rPr>
                <w:kern w:val="0"/>
                <w:sz w:val="18"/>
                <w:szCs w:val="18"/>
                <w:lang w:bidi="ar"/>
              </w:rPr>
              <w:t>.</w:t>
            </w:r>
            <w:r>
              <w:rPr>
                <w:rFonts w:ascii="Times New Roman" w:hAnsi="Times New Roman"/>
                <w:kern w:val="0"/>
                <w:sz w:val="18"/>
                <w:szCs w:val="18"/>
                <w:lang w:bidi="ar"/>
              </w:rPr>
              <w:t>1</w:t>
            </w:r>
          </w:p>
          <w:p w14:paraId="4805F2E5">
            <w:pPr>
              <w:jc w:val="center"/>
              <w:rPr>
                <w:kern w:val="0"/>
                <w:sz w:val="18"/>
                <w:szCs w:val="18"/>
                <w:lang w:bidi="ar"/>
              </w:rPr>
            </w:pPr>
            <w:r>
              <w:rPr>
                <w:kern w:val="0"/>
                <w:sz w:val="18"/>
                <w:szCs w:val="18"/>
                <w:lang w:bidi="ar"/>
              </w:rPr>
              <w:t>工业用水</w:t>
            </w:r>
            <w:r>
              <w:rPr>
                <w:rFonts w:hint="eastAsia"/>
                <w:kern w:val="0"/>
                <w:sz w:val="18"/>
                <w:szCs w:val="18"/>
                <w:lang w:bidi="ar"/>
              </w:rPr>
              <w:t>：</w:t>
            </w:r>
            <w:r>
              <w:rPr>
                <w:rFonts w:ascii="Times New Roman" w:hAnsi="Times New Roman"/>
                <w:kern w:val="0"/>
                <w:sz w:val="18"/>
                <w:szCs w:val="18"/>
                <w:lang w:bidi="ar"/>
              </w:rPr>
              <w:t>100</w:t>
            </w:r>
          </w:p>
        </w:tc>
      </w:tr>
      <w:tr w14:paraId="73D4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347" w:type="dxa"/>
            <w:tcBorders>
              <w:left w:val="single" w:color="auto" w:sz="8" w:space="0"/>
            </w:tcBorders>
            <w:vAlign w:val="center"/>
          </w:tcPr>
          <w:p w14:paraId="7BF2CE0A">
            <w:pPr>
              <w:jc w:val="center"/>
              <w:rPr>
                <w:sz w:val="18"/>
                <w:szCs w:val="18"/>
              </w:rPr>
            </w:pPr>
            <w:r>
              <w:rPr>
                <w:sz w:val="18"/>
                <w:szCs w:val="18"/>
              </w:rPr>
              <w:t>井水</w:t>
            </w:r>
          </w:p>
          <w:p w14:paraId="2CD74042">
            <w:pPr>
              <w:jc w:val="center"/>
              <w:rPr>
                <w:rFonts w:ascii="Times New Roman" w:hAnsi="Times New Roman" w:eastAsia="宋体" w:cs="Times New Roman"/>
                <w:sz w:val="18"/>
                <w:szCs w:val="18"/>
              </w:rPr>
            </w:pPr>
            <w:r>
              <w:rPr>
                <w:sz w:val="18"/>
                <w:szCs w:val="18"/>
              </w:rPr>
              <w:t>（地下水）</w:t>
            </w:r>
          </w:p>
        </w:tc>
        <w:tc>
          <w:tcPr>
            <w:tcW w:w="1102" w:type="dxa"/>
            <w:vAlign w:val="center"/>
          </w:tcPr>
          <w:p w14:paraId="58C8E9BC">
            <w:pPr>
              <w:jc w:val="center"/>
              <w:rPr>
                <w:rFonts w:ascii="Times New Roman" w:hAnsi="Times New Roman" w:eastAsia="宋体" w:cs="Times New Roman"/>
                <w:sz w:val="18"/>
                <w:szCs w:val="18"/>
              </w:rPr>
            </w:pPr>
            <w:r>
              <w:rPr>
                <w:rFonts w:hint="eastAsia"/>
                <w:sz w:val="18"/>
                <w:szCs w:val="18"/>
              </w:rPr>
              <w:t>178</w:t>
            </w:r>
          </w:p>
        </w:tc>
        <w:tc>
          <w:tcPr>
            <w:tcW w:w="1551" w:type="dxa"/>
            <w:vAlign w:val="center"/>
          </w:tcPr>
          <w:p w14:paraId="2EBBAF42">
            <w:pPr>
              <w:jc w:val="center"/>
              <w:rPr>
                <w:rFonts w:ascii="Times New Roman" w:hAnsi="Times New Roman" w:eastAsia="宋体" w:cs="Times New Roman"/>
                <w:sz w:val="18"/>
                <w:szCs w:val="18"/>
              </w:rPr>
            </w:pPr>
            <w:r>
              <w:rPr>
                <w:rFonts w:hint="eastAsia"/>
                <w:sz w:val="18"/>
                <w:szCs w:val="18"/>
              </w:rPr>
              <w:t>0.18~29.99</w:t>
            </w:r>
          </w:p>
        </w:tc>
        <w:tc>
          <w:tcPr>
            <w:tcW w:w="1200" w:type="dxa"/>
            <w:vAlign w:val="center"/>
          </w:tcPr>
          <w:p w14:paraId="713F4845">
            <w:pPr>
              <w:jc w:val="center"/>
              <w:rPr>
                <w:rFonts w:ascii="Times New Roman" w:hAnsi="Times New Roman" w:eastAsia="宋体" w:cs="Times New Roman"/>
                <w:sz w:val="18"/>
                <w:szCs w:val="18"/>
              </w:rPr>
            </w:pPr>
            <w:r>
              <w:rPr>
                <w:rFonts w:hint="eastAsia"/>
                <w:sz w:val="18"/>
                <w:szCs w:val="18"/>
              </w:rPr>
              <w:t>8.98</w:t>
            </w:r>
          </w:p>
        </w:tc>
        <w:tc>
          <w:tcPr>
            <w:tcW w:w="1653" w:type="dxa"/>
            <w:vAlign w:val="center"/>
          </w:tcPr>
          <w:p w14:paraId="23C48258">
            <w:pPr>
              <w:jc w:val="center"/>
              <w:rPr>
                <w:rFonts w:ascii="Times New Roman" w:hAnsi="Times New Roman" w:eastAsia="宋体" w:cs="Times New Roman"/>
                <w:sz w:val="18"/>
                <w:szCs w:val="18"/>
              </w:rPr>
            </w:pPr>
            <w:r>
              <w:rPr>
                <w:kern w:val="0"/>
                <w:sz w:val="18"/>
                <w:szCs w:val="18"/>
                <w:lang w:bidi="ar"/>
              </w:rPr>
              <w:t>居民饮用水、</w:t>
            </w:r>
            <w:r>
              <w:rPr>
                <w:rFonts w:hint="eastAsia"/>
                <w:kern w:val="0"/>
                <w:sz w:val="18"/>
                <w:szCs w:val="18"/>
                <w:lang w:bidi="ar"/>
              </w:rPr>
              <w:t>生产、</w:t>
            </w:r>
            <w:r>
              <w:rPr>
                <w:kern w:val="0"/>
                <w:sz w:val="18"/>
                <w:szCs w:val="18"/>
                <w:lang w:bidi="ar"/>
              </w:rPr>
              <w:t>农业用水</w:t>
            </w:r>
          </w:p>
        </w:tc>
        <w:tc>
          <w:tcPr>
            <w:tcW w:w="1387" w:type="dxa"/>
            <w:vMerge w:val="continue"/>
            <w:tcBorders>
              <w:right w:val="single" w:color="auto" w:sz="8" w:space="0"/>
            </w:tcBorders>
            <w:vAlign w:val="center"/>
          </w:tcPr>
          <w:p w14:paraId="44C92670">
            <w:pPr>
              <w:jc w:val="center"/>
              <w:rPr>
                <w:kern w:val="0"/>
                <w:sz w:val="18"/>
                <w:szCs w:val="18"/>
                <w:lang w:bidi="ar"/>
              </w:rPr>
            </w:pPr>
          </w:p>
        </w:tc>
      </w:tr>
      <w:tr w14:paraId="1FF2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1347" w:type="dxa"/>
            <w:tcBorders>
              <w:left w:val="single" w:color="auto" w:sz="8" w:space="0"/>
            </w:tcBorders>
            <w:vAlign w:val="center"/>
          </w:tcPr>
          <w:p w14:paraId="35897843">
            <w:pPr>
              <w:jc w:val="center"/>
              <w:rPr>
                <w:sz w:val="18"/>
                <w:szCs w:val="18"/>
              </w:rPr>
            </w:pPr>
            <w:r>
              <w:rPr>
                <w:rFonts w:hint="eastAsia"/>
                <w:sz w:val="18"/>
                <w:szCs w:val="18"/>
              </w:rPr>
              <w:t>地表水</w:t>
            </w:r>
          </w:p>
        </w:tc>
        <w:tc>
          <w:tcPr>
            <w:tcW w:w="1102" w:type="dxa"/>
            <w:vAlign w:val="center"/>
          </w:tcPr>
          <w:p w14:paraId="75D7773B">
            <w:pPr>
              <w:jc w:val="center"/>
              <w:rPr>
                <w:rFonts w:eastAsia="宋体"/>
                <w:sz w:val="18"/>
                <w:szCs w:val="18"/>
              </w:rPr>
            </w:pPr>
            <w:r>
              <w:rPr>
                <w:rFonts w:hint="eastAsia"/>
                <w:sz w:val="18"/>
                <w:szCs w:val="18"/>
              </w:rPr>
              <w:t>35</w:t>
            </w:r>
          </w:p>
        </w:tc>
        <w:tc>
          <w:tcPr>
            <w:tcW w:w="1551" w:type="dxa"/>
            <w:vAlign w:val="center"/>
          </w:tcPr>
          <w:p w14:paraId="66060AEB">
            <w:pPr>
              <w:jc w:val="center"/>
              <w:rPr>
                <w:sz w:val="18"/>
                <w:szCs w:val="18"/>
              </w:rPr>
            </w:pPr>
            <w:r>
              <w:rPr>
                <w:rFonts w:hint="eastAsia"/>
                <w:sz w:val="18"/>
                <w:szCs w:val="18"/>
              </w:rPr>
              <w:t>0.14~2.86</w:t>
            </w:r>
          </w:p>
        </w:tc>
        <w:tc>
          <w:tcPr>
            <w:tcW w:w="1200" w:type="dxa"/>
            <w:vAlign w:val="center"/>
          </w:tcPr>
          <w:p w14:paraId="10DDB636">
            <w:pPr>
              <w:jc w:val="center"/>
              <w:rPr>
                <w:rFonts w:eastAsia="宋体"/>
                <w:sz w:val="18"/>
                <w:szCs w:val="18"/>
              </w:rPr>
            </w:pPr>
            <w:r>
              <w:rPr>
                <w:rFonts w:hint="eastAsia"/>
                <w:sz w:val="18"/>
                <w:szCs w:val="18"/>
              </w:rPr>
              <w:t>1.24</w:t>
            </w:r>
          </w:p>
        </w:tc>
        <w:tc>
          <w:tcPr>
            <w:tcW w:w="1653" w:type="dxa"/>
            <w:vAlign w:val="center"/>
          </w:tcPr>
          <w:p w14:paraId="24A3EB1E">
            <w:pPr>
              <w:jc w:val="center"/>
              <w:rPr>
                <w:sz w:val="18"/>
                <w:szCs w:val="18"/>
              </w:rPr>
            </w:pPr>
            <w:r>
              <w:rPr>
                <w:rFonts w:hint="eastAsia"/>
                <w:kern w:val="0"/>
                <w:sz w:val="18"/>
                <w:szCs w:val="18"/>
                <w:lang w:bidi="ar"/>
              </w:rPr>
              <w:t>综合</w:t>
            </w:r>
            <w:r>
              <w:rPr>
                <w:kern w:val="0"/>
                <w:sz w:val="18"/>
                <w:szCs w:val="18"/>
                <w:lang w:bidi="ar"/>
              </w:rPr>
              <w:t>用水</w:t>
            </w:r>
          </w:p>
        </w:tc>
        <w:tc>
          <w:tcPr>
            <w:tcW w:w="1387" w:type="dxa"/>
            <w:vMerge w:val="continue"/>
            <w:tcBorders>
              <w:right w:val="single" w:color="auto" w:sz="8" w:space="0"/>
            </w:tcBorders>
            <w:vAlign w:val="center"/>
          </w:tcPr>
          <w:p w14:paraId="3F7FABE6">
            <w:pPr>
              <w:jc w:val="center"/>
              <w:rPr>
                <w:kern w:val="0"/>
                <w:sz w:val="18"/>
                <w:szCs w:val="18"/>
                <w:lang w:bidi="ar"/>
              </w:rPr>
            </w:pPr>
          </w:p>
        </w:tc>
      </w:tr>
      <w:tr w14:paraId="5AC3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1347" w:type="dxa"/>
            <w:tcBorders>
              <w:left w:val="single" w:color="auto" w:sz="8" w:space="0"/>
              <w:bottom w:val="single" w:color="auto" w:sz="8" w:space="0"/>
            </w:tcBorders>
            <w:vAlign w:val="center"/>
          </w:tcPr>
          <w:p w14:paraId="334FFE8B">
            <w:pPr>
              <w:jc w:val="center"/>
              <w:rPr>
                <w:sz w:val="18"/>
                <w:szCs w:val="18"/>
              </w:rPr>
            </w:pPr>
            <w:r>
              <w:rPr>
                <w:rFonts w:hint="eastAsia"/>
                <w:sz w:val="18"/>
                <w:szCs w:val="18"/>
              </w:rPr>
              <w:t>矿坑水</w:t>
            </w:r>
          </w:p>
        </w:tc>
        <w:tc>
          <w:tcPr>
            <w:tcW w:w="1102" w:type="dxa"/>
            <w:tcBorders>
              <w:bottom w:val="single" w:color="auto" w:sz="8" w:space="0"/>
            </w:tcBorders>
            <w:vAlign w:val="center"/>
          </w:tcPr>
          <w:p w14:paraId="1EE4FA42">
            <w:pPr>
              <w:jc w:val="center"/>
              <w:rPr>
                <w:sz w:val="18"/>
                <w:szCs w:val="18"/>
              </w:rPr>
            </w:pPr>
            <w:r>
              <w:rPr>
                <w:rFonts w:hint="eastAsia"/>
                <w:sz w:val="18"/>
                <w:szCs w:val="18"/>
              </w:rPr>
              <w:t>8</w:t>
            </w:r>
          </w:p>
        </w:tc>
        <w:tc>
          <w:tcPr>
            <w:tcW w:w="1551" w:type="dxa"/>
            <w:tcBorders>
              <w:bottom w:val="single" w:color="auto" w:sz="8" w:space="0"/>
            </w:tcBorders>
            <w:vAlign w:val="center"/>
          </w:tcPr>
          <w:p w14:paraId="51616EB2">
            <w:pPr>
              <w:jc w:val="center"/>
              <w:rPr>
                <w:rFonts w:ascii="Times New Roman" w:hAnsi="Times New Roman" w:eastAsia="宋体"/>
                <w:sz w:val="18"/>
                <w:szCs w:val="18"/>
              </w:rPr>
            </w:pPr>
            <w:r>
              <w:rPr>
                <w:rFonts w:hint="eastAsia"/>
                <w:sz w:val="18"/>
                <w:szCs w:val="18"/>
              </w:rPr>
              <w:t>0.28~1.10</w:t>
            </w:r>
          </w:p>
        </w:tc>
        <w:tc>
          <w:tcPr>
            <w:tcW w:w="1200" w:type="dxa"/>
            <w:tcBorders>
              <w:bottom w:val="single" w:color="auto" w:sz="8" w:space="0"/>
            </w:tcBorders>
            <w:vAlign w:val="center"/>
          </w:tcPr>
          <w:p w14:paraId="21E08FC3">
            <w:pPr>
              <w:jc w:val="center"/>
              <w:rPr>
                <w:rFonts w:ascii="Times New Roman" w:hAnsi="Times New Roman" w:eastAsia="宋体"/>
                <w:sz w:val="18"/>
                <w:szCs w:val="18"/>
              </w:rPr>
            </w:pPr>
            <w:r>
              <w:rPr>
                <w:rFonts w:hint="eastAsia"/>
                <w:sz w:val="18"/>
                <w:szCs w:val="18"/>
              </w:rPr>
              <w:t>0.49</w:t>
            </w:r>
          </w:p>
        </w:tc>
        <w:tc>
          <w:tcPr>
            <w:tcW w:w="1653" w:type="dxa"/>
            <w:tcBorders>
              <w:bottom w:val="single" w:color="auto" w:sz="8" w:space="0"/>
            </w:tcBorders>
            <w:vAlign w:val="center"/>
          </w:tcPr>
          <w:p w14:paraId="3EF7F14C">
            <w:pPr>
              <w:jc w:val="center"/>
              <w:rPr>
                <w:kern w:val="0"/>
                <w:sz w:val="18"/>
                <w:szCs w:val="18"/>
                <w:lang w:bidi="ar"/>
              </w:rPr>
            </w:pPr>
            <w:r>
              <w:rPr>
                <w:rFonts w:hint="eastAsia"/>
                <w:kern w:val="0"/>
                <w:sz w:val="18"/>
                <w:szCs w:val="18"/>
                <w:lang w:bidi="ar"/>
              </w:rPr>
              <w:t>工业用水</w:t>
            </w:r>
          </w:p>
        </w:tc>
        <w:tc>
          <w:tcPr>
            <w:tcW w:w="1387" w:type="dxa"/>
            <w:vMerge w:val="continue"/>
            <w:tcBorders>
              <w:bottom w:val="single" w:color="auto" w:sz="8" w:space="0"/>
              <w:right w:val="single" w:color="auto" w:sz="8" w:space="0"/>
            </w:tcBorders>
            <w:vAlign w:val="center"/>
          </w:tcPr>
          <w:p w14:paraId="48F0D90F">
            <w:pPr>
              <w:jc w:val="center"/>
              <w:rPr>
                <w:kern w:val="0"/>
                <w:sz w:val="18"/>
                <w:szCs w:val="18"/>
                <w:lang w:bidi="ar"/>
              </w:rPr>
            </w:pPr>
          </w:p>
        </w:tc>
      </w:tr>
    </w:tbl>
    <w:p w14:paraId="2ACA10D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大部分地区水中氡浓度处于正常浓度水平，井水中氡浓度明显高于地表水及自来水，平均值为8.98Bq/L；地表水及自来水中氡浓度平均值接近，为1.24Bq/L</w:t>
      </w:r>
      <w:r>
        <w:rPr>
          <w:rFonts w:ascii="Arial" w:hAnsi="Arial" w:eastAsia="仿宋_GB2312" w:cs="Arial"/>
          <w:sz w:val="28"/>
          <w:szCs w:val="28"/>
        </w:rPr>
        <w:t>~</w:t>
      </w:r>
      <w:r>
        <w:rPr>
          <w:rFonts w:hint="eastAsia" w:ascii="仿宋_GB2312" w:hAnsi="仿宋_GB2312" w:eastAsia="仿宋_GB2312" w:cs="仿宋_GB2312"/>
          <w:sz w:val="28"/>
          <w:szCs w:val="28"/>
        </w:rPr>
        <w:t>2.03Bq/L。</w:t>
      </w:r>
    </w:p>
    <w:p w14:paraId="24F51F6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调查发现59个测点的水中氡测值高于美国标准的最大污染水平11.1Bq/L，最高值29.99Bq/L。水中氡浓度整体超标点位水深约8~20m，水中氡浓度超标点主要位于中卫市周边迎水桥镇、滨河镇、柔远镇、镇罗镇、东园镇、常乐镇及中宁县余丁乡、石空镇、新堡镇等地。其中部分超标点位于中卫市水源地，其中25个超标点位于断裂附近。但是由于水中氡受到环境要素影响极大，且在水中存留时间不长，十几分钟到几个小时水中的氡就会释放大部分的氡到大气中，同时参考专家意见，本标准不再将水中氡作为调查对象。</w:t>
      </w:r>
    </w:p>
    <w:p w14:paraId="6AC1E88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自治区核与辐射安全中心承担着</w:t>
      </w:r>
      <w:r>
        <w:rPr>
          <w:rFonts w:ascii="仿宋_GB2312" w:hAnsi="仿宋_GB2312" w:eastAsia="仿宋_GB2312" w:cs="仿宋_GB2312"/>
          <w:sz w:val="28"/>
          <w:szCs w:val="28"/>
        </w:rPr>
        <w:t>34</w:t>
      </w:r>
      <w:r>
        <w:rPr>
          <w:rFonts w:hint="eastAsia" w:ascii="仿宋_GB2312" w:hAnsi="仿宋_GB2312" w:eastAsia="仿宋_GB2312" w:cs="仿宋_GB2312"/>
          <w:sz w:val="28"/>
          <w:szCs w:val="28"/>
        </w:rPr>
        <w:t>个国家辐射环境监测网国控点、2</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个辐射项目的年度监测任务，其中辐射环境自动监测站点位6个，陆地辐射环境质量监测点位10个，土壤辐射环境质量监测点位5个，水体辐射环境质量监测点位8个，电磁辐射监测点位4个，宇宙射线监测点位1个。开展了陆地γ辐射、环境氡、土壤γ能谱、空气沉降物和气溶胶γ能谱、水体γ能谱、生物γ能谱等项目的检测工作，检测数据上报生态环境部。此项工作按照生态环境部统一部署开展，执行严格的质量保证措施，验证了本标准规定的调查项目、现场检测和实验室分析方法、质控措施等内容，具体可查阅国家核安全局网站发布的全国辐射环境质量报告。</w:t>
      </w:r>
    </w:p>
    <w:p w14:paraId="2C02CC3A">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49" w:name="_Toc203050063"/>
      <w:bookmarkStart w:id="50" w:name="_Toc155042797"/>
      <w:r>
        <w:rPr>
          <w:rFonts w:ascii="Times New Roman" w:hAnsi="Times New Roman" w:eastAsia="黑体"/>
          <w:b w:val="0"/>
          <w:bCs/>
          <w:kern w:val="2"/>
          <w:sz w:val="28"/>
          <w:szCs w:val="28"/>
        </w:rPr>
        <w:t>（三）标准实施效益与技术经济分析</w:t>
      </w:r>
      <w:bookmarkEnd w:id="49"/>
      <w:bookmarkEnd w:id="50"/>
    </w:p>
    <w:p w14:paraId="02619B99">
      <w:pPr>
        <w:pStyle w:val="5"/>
        <w:spacing w:before="0" w:after="0" w:line="360" w:lineRule="auto"/>
        <w:ind w:firstLine="562" w:firstLineChars="200"/>
        <w:rPr>
          <w:rFonts w:ascii="仿宋" w:hAnsi="仿宋" w:eastAsia="仿宋" w:cs="Times New Roman"/>
        </w:rPr>
      </w:pPr>
      <w:bookmarkStart w:id="51" w:name="_Toc4880"/>
      <w:bookmarkStart w:id="52" w:name="_Toc152353659"/>
      <w:bookmarkStart w:id="53" w:name="_Toc19304"/>
      <w:bookmarkStart w:id="54" w:name="_Toc152358955"/>
      <w:r>
        <w:rPr>
          <w:rFonts w:hint="eastAsia" w:ascii="仿宋" w:hAnsi="仿宋" w:eastAsia="仿宋" w:cs="Times New Roman"/>
        </w:rPr>
        <w:t>1.</w:t>
      </w:r>
      <w:r>
        <w:rPr>
          <w:rFonts w:ascii="仿宋" w:hAnsi="仿宋" w:eastAsia="仿宋" w:cs="Times New Roman"/>
        </w:rPr>
        <w:t>环境效益分析</w:t>
      </w:r>
      <w:bookmarkEnd w:id="51"/>
      <w:bookmarkEnd w:id="52"/>
      <w:bookmarkEnd w:id="53"/>
      <w:bookmarkEnd w:id="54"/>
    </w:p>
    <w:p w14:paraId="759AFDD7">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通过本标准的实施，</w:t>
      </w:r>
      <w:r>
        <w:rPr>
          <w:rFonts w:hint="eastAsia" w:ascii="仿宋" w:hAnsi="仿宋" w:eastAsia="仿宋" w:cs="Times New Roman"/>
          <w:sz w:val="28"/>
          <w:szCs w:val="28"/>
        </w:rPr>
        <w:t>将填补宁夏回族自治区天然放射性环境调查技术规范的空白，系统性解决以下问题：</w:t>
      </w:r>
    </w:p>
    <w:p w14:paraId="56092954">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准确识别辐射高本底区域：通过标准化的调查手段，能够全面、系统地获取自治区内环境天然放射性水平的相关数据，准确地辨识出高本底区域，例如铀矿化点、伴生放射性矿区或其他放射性异常区域等。有助于发现潜在的放射性污染风险区域，为后续的辐射环境监管提供目标定位。</w:t>
      </w:r>
    </w:p>
    <w:p w14:paraId="38834E9D">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（2）为环境保护与治理提供数据支持：通过统一的调查方法和流程，确保数据的可靠性，为矿产资源勘探与开发、国土空间规划与工程选址、人居环境健康等环境决策提供科学依据。例如，GB 50325《民用建筑工程室内环境污控制规范》中规定：新建、扩建、改建的民用建筑工程（含I类住宅、II类公共建筑），必须进行建筑场地土壤氡浓度检测，结果纳入工程地质报告；在建筑设计和建造阶段，相关部门应根据土壤氡浓度分级采取防氡措施；在验收阶段，工程竣工需检测室内氡浓度，I类≤150 Bq/m</w:t>
      </w:r>
      <w:r>
        <w:rPr>
          <w:rFonts w:hint="eastAsia" w:ascii="仿宋" w:hAnsi="仿宋" w:eastAsia="仿宋" w:cs="Times New Roman"/>
          <w:sz w:val="28"/>
          <w:szCs w:val="28"/>
          <w:vertAlign w:val="superscript"/>
        </w:rPr>
        <w:t>3</w:t>
      </w:r>
      <w:r>
        <w:rPr>
          <w:rFonts w:hint="eastAsia" w:ascii="仿宋" w:hAnsi="仿宋" w:eastAsia="仿宋" w:cs="Times New Roman"/>
          <w:sz w:val="28"/>
          <w:szCs w:val="28"/>
        </w:rPr>
        <w:t>、II类≤400 Bq/m</w:t>
      </w:r>
      <w:r>
        <w:rPr>
          <w:rFonts w:hint="eastAsia" w:ascii="仿宋" w:hAnsi="仿宋" w:eastAsia="仿宋" w:cs="Times New Roman"/>
          <w:sz w:val="28"/>
          <w:szCs w:val="28"/>
          <w:vertAlign w:val="superscript"/>
        </w:rPr>
        <w:t>3</w:t>
      </w:r>
      <w:r>
        <w:rPr>
          <w:rFonts w:hint="eastAsia" w:ascii="仿宋" w:hAnsi="仿宋" w:eastAsia="仿宋" w:cs="Times New Roman"/>
          <w:sz w:val="28"/>
          <w:szCs w:val="28"/>
        </w:rPr>
        <w:t>，超标不得投入使用。</w:t>
      </w:r>
    </w:p>
    <w:p w14:paraId="206BA15F">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助力辐射环境质量评价：通过开展天然放射性环境调查，可以充分掌握环境天然放射性水平分布及特征、摸清天然放射性水平的变化及趋势、发现人为活动对环境放射性的影响,从而为辐射环境质量评价、放射性核素在环境中迁移规律的研究、辐射相关标准的制定工作等提供科学依据</w:t>
      </w:r>
      <w:r>
        <w:rPr>
          <w:rFonts w:hint="eastAsia" w:ascii="仿宋" w:hAnsi="仿宋" w:eastAsia="仿宋" w:cs="仿宋"/>
          <w:sz w:val="28"/>
          <w:szCs w:val="28"/>
        </w:rPr>
        <w:t>。</w:t>
      </w:r>
    </w:p>
    <w:p w14:paraId="5C1A8629">
      <w:pPr>
        <w:pStyle w:val="5"/>
        <w:spacing w:before="0" w:after="0" w:line="360" w:lineRule="auto"/>
        <w:ind w:firstLine="562" w:firstLineChars="200"/>
        <w:rPr>
          <w:rFonts w:ascii="仿宋" w:hAnsi="仿宋" w:eastAsia="仿宋" w:cs="Times New Roman"/>
        </w:rPr>
      </w:pPr>
      <w:bookmarkStart w:id="55" w:name="_Toc23686"/>
      <w:bookmarkStart w:id="56" w:name="_Toc31651"/>
      <w:bookmarkStart w:id="57" w:name="_Toc152358956"/>
      <w:bookmarkStart w:id="58" w:name="_Toc152353660"/>
      <w:r>
        <w:rPr>
          <w:rFonts w:hint="eastAsia" w:ascii="仿宋" w:hAnsi="仿宋" w:eastAsia="仿宋" w:cs="Times New Roman"/>
        </w:rPr>
        <w:t>2.</w:t>
      </w:r>
      <w:r>
        <w:rPr>
          <w:rFonts w:ascii="仿宋" w:hAnsi="仿宋" w:eastAsia="仿宋" w:cs="Times New Roman"/>
        </w:rPr>
        <w:t>技术经济分析</w:t>
      </w:r>
      <w:bookmarkEnd w:id="55"/>
      <w:bookmarkEnd w:id="56"/>
      <w:bookmarkEnd w:id="57"/>
      <w:bookmarkEnd w:id="58"/>
    </w:p>
    <w:p w14:paraId="0099CC22">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通过本标准的实施，</w:t>
      </w:r>
      <w:r>
        <w:rPr>
          <w:rFonts w:hint="eastAsia" w:ascii="仿宋" w:hAnsi="仿宋" w:eastAsia="仿宋" w:cs="Times New Roman"/>
          <w:sz w:val="28"/>
          <w:szCs w:val="28"/>
        </w:rPr>
        <w:t>有利于减少</w:t>
      </w:r>
      <w:r>
        <w:rPr>
          <w:rFonts w:hint="eastAsia" w:ascii="仿宋" w:hAnsi="仿宋" w:eastAsia="仿宋" w:cs="MS Mincho"/>
          <w:sz w:val="28"/>
          <w:szCs w:val="28"/>
        </w:rPr>
        <w:t>重复调查和人员培训等支出，</w:t>
      </w:r>
      <w:r>
        <w:rPr>
          <w:rFonts w:hint="eastAsia" w:ascii="仿宋" w:hAnsi="仿宋" w:eastAsia="仿宋" w:cs="Times New Roman"/>
          <w:sz w:val="28"/>
          <w:szCs w:val="28"/>
        </w:rPr>
        <w:t>降低调查成本</w:t>
      </w:r>
      <w:r>
        <w:rPr>
          <w:rFonts w:hint="eastAsia" w:ascii="仿宋" w:hAnsi="仿宋" w:eastAsia="仿宋" w:cs="MS Mincho"/>
          <w:sz w:val="28"/>
          <w:szCs w:val="28"/>
        </w:rPr>
        <w:t>，</w:t>
      </w:r>
      <w:r>
        <w:rPr>
          <w:rFonts w:hint="eastAsia" w:ascii="仿宋" w:hAnsi="仿宋" w:eastAsia="仿宋" w:cs="Times New Roman"/>
          <w:sz w:val="28"/>
          <w:szCs w:val="28"/>
        </w:rPr>
        <w:t>提升数据利用效能</w:t>
      </w:r>
      <w:r>
        <w:rPr>
          <w:rFonts w:hint="eastAsia" w:ascii="仿宋" w:hAnsi="仿宋" w:eastAsia="仿宋" w:cs="MS Mincho"/>
          <w:sz w:val="28"/>
          <w:szCs w:val="28"/>
        </w:rPr>
        <w:t>。</w:t>
      </w:r>
    </w:p>
    <w:p w14:paraId="2738E3C8">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（1）技术可行性</w:t>
      </w:r>
    </w:p>
    <w:p w14:paraId="4C8748AC">
      <w:pPr>
        <w:spacing w:line="360" w:lineRule="auto"/>
        <w:ind w:firstLine="560" w:firstLineChars="200"/>
        <w:rPr>
          <w:rFonts w:ascii="仿宋" w:hAnsi="仿宋" w:eastAsia="仿宋"/>
          <w:sz w:val="28"/>
          <w:szCs w:val="28"/>
        </w:rPr>
      </w:pPr>
      <w:r>
        <w:rPr>
          <w:rFonts w:hint="eastAsia" w:ascii="仿宋" w:hAnsi="仿宋" w:eastAsia="仿宋"/>
          <w:sz w:val="28"/>
          <w:szCs w:val="28"/>
        </w:rPr>
        <w:t>本标准所采用的技术方法，如采样点位布设、样品前处理、γ能谱分析等，均是目前国内成熟且被广泛应用的技术。这些技术经过多年实践检验，具有较高的准确性和可靠性，能够保证调查结果的质量，有利于相关技术在自治区内的推广和应用。</w:t>
      </w:r>
    </w:p>
    <w:p w14:paraId="7CFBCBBB">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）成本可控性</w:t>
      </w:r>
    </w:p>
    <w:p w14:paraId="62C3B3FA">
      <w:pPr>
        <w:spacing w:line="360" w:lineRule="auto"/>
        <w:ind w:firstLine="560" w:firstLineChars="200"/>
        <w:rPr>
          <w:rFonts w:ascii="仿宋" w:hAnsi="仿宋" w:eastAsia="仿宋"/>
          <w:sz w:val="28"/>
          <w:szCs w:val="28"/>
        </w:rPr>
      </w:pPr>
      <w:r>
        <w:rPr>
          <w:rFonts w:hint="eastAsia" w:ascii="仿宋" w:hAnsi="仿宋" w:eastAsia="仿宋" w:cs="Times New Roman"/>
          <w:kern w:val="0"/>
          <w:sz w:val="28"/>
          <w:szCs w:val="28"/>
        </w:rPr>
        <w:t>统一的技术规范能够避免因调查方法不一致导致的重复工作和资源浪费，从而降低整体调查成本。对于从事天然放射性环境调查的单位来说，按照标准执行可以减少因技术不统一而产生的额外费用，如</w:t>
      </w:r>
      <w:r>
        <w:rPr>
          <w:rFonts w:hint="eastAsia" w:ascii="仿宋" w:hAnsi="仿宋" w:eastAsia="仿宋" w:cs="Times New Roman"/>
          <w:sz w:val="28"/>
          <w:szCs w:val="28"/>
        </w:rPr>
        <w:t>重复开发技术方法，</w:t>
      </w:r>
      <w:r>
        <w:rPr>
          <w:rFonts w:hint="eastAsia" w:ascii="仿宋" w:hAnsi="仿宋" w:eastAsia="仿宋" w:cs="Times New Roman"/>
          <w:kern w:val="0"/>
          <w:sz w:val="28"/>
          <w:szCs w:val="28"/>
        </w:rPr>
        <w:t>购买额外设备、重复采样、重复分析等。此外，标准的执行有助于提高调查效率，间接降低了时间成本和人力成本。</w:t>
      </w:r>
    </w:p>
    <w:p w14:paraId="08DC5F28">
      <w:pPr>
        <w:spacing w:line="360" w:lineRule="auto"/>
        <w:ind w:firstLine="560" w:firstLineChars="200"/>
        <w:rPr>
          <w:rFonts w:ascii="仿宋" w:hAnsi="仿宋" w:eastAsia="仿宋" w:cs="仿宋"/>
          <w:sz w:val="28"/>
          <w:szCs w:val="28"/>
        </w:rPr>
      </w:pPr>
      <w:r>
        <w:rPr>
          <w:rFonts w:hint="eastAsia" w:ascii="仿宋" w:hAnsi="仿宋" w:eastAsia="仿宋" w:cs="Times New Roman"/>
          <w:sz w:val="28"/>
          <w:szCs w:val="28"/>
        </w:rPr>
        <w:t>（3）提升数据利用效能</w:t>
      </w:r>
    </w:p>
    <w:p w14:paraId="093B3323">
      <w:pPr>
        <w:spacing w:line="360" w:lineRule="auto"/>
        <w:ind w:firstLine="560" w:firstLineChars="200"/>
        <w:rPr>
          <w:rFonts w:ascii="仿宋" w:hAnsi="仿宋" w:eastAsia="仿宋"/>
          <w:sz w:val="28"/>
          <w:szCs w:val="28"/>
        </w:rPr>
      </w:pPr>
      <w:r>
        <w:rPr>
          <w:rFonts w:hint="eastAsia" w:ascii="仿宋" w:hAnsi="仿宋" w:eastAsia="仿宋" w:cs="仿宋"/>
          <w:sz w:val="28"/>
          <w:szCs w:val="28"/>
        </w:rPr>
        <w:t>统一标准，规范调查点位布设、现场测量和采样方法等内容，</w:t>
      </w:r>
      <w:r>
        <w:rPr>
          <w:rFonts w:hint="eastAsia" w:ascii="仿宋" w:hAnsi="仿宋" w:eastAsia="仿宋" w:cs="Times New Roman"/>
          <w:sz w:val="28"/>
          <w:szCs w:val="28"/>
        </w:rPr>
        <w:t>形成标准化成果，</w:t>
      </w:r>
      <w:r>
        <w:rPr>
          <w:rFonts w:hint="eastAsia" w:ascii="仿宋" w:hAnsi="仿宋" w:eastAsia="仿宋" w:cs="仿宋"/>
          <w:sz w:val="28"/>
          <w:szCs w:val="28"/>
        </w:rPr>
        <w:t>解决不同调查单位、不同调查项目之间的指标差异化问题</w:t>
      </w:r>
      <w:r>
        <w:rPr>
          <w:rFonts w:hint="eastAsia" w:ascii="仿宋" w:hAnsi="仿宋" w:eastAsia="仿宋" w:cs="Times New Roman"/>
          <w:sz w:val="28"/>
          <w:szCs w:val="28"/>
        </w:rPr>
        <w:t>，促进数据开发利用效能，间接节约社会经济成本。</w:t>
      </w:r>
    </w:p>
    <w:p w14:paraId="3F2582A2">
      <w:pPr>
        <w:pStyle w:val="5"/>
        <w:spacing w:before="0" w:after="0" w:line="360" w:lineRule="auto"/>
        <w:ind w:firstLine="562" w:firstLineChars="200"/>
        <w:rPr>
          <w:rFonts w:ascii="仿宋" w:hAnsi="仿宋" w:eastAsia="仿宋" w:cs="Times New Roman"/>
        </w:rPr>
      </w:pPr>
      <w:bookmarkStart w:id="59" w:name="_Toc152353661"/>
      <w:bookmarkStart w:id="60" w:name="_Toc15843"/>
      <w:bookmarkStart w:id="61" w:name="_Toc18285"/>
      <w:bookmarkStart w:id="62" w:name="_Toc152358957"/>
      <w:r>
        <w:rPr>
          <w:rFonts w:ascii="仿宋" w:hAnsi="仿宋" w:eastAsia="仿宋" w:cs="Times New Roman"/>
        </w:rPr>
        <w:t>3</w:t>
      </w:r>
      <w:r>
        <w:rPr>
          <w:rFonts w:hint="eastAsia" w:ascii="仿宋" w:hAnsi="仿宋" w:eastAsia="仿宋" w:cs="Times New Roman"/>
        </w:rPr>
        <w:t>.</w:t>
      </w:r>
      <w:r>
        <w:rPr>
          <w:rFonts w:ascii="仿宋" w:hAnsi="仿宋" w:eastAsia="仿宋" w:cs="Times New Roman"/>
        </w:rPr>
        <w:t>社会效益分析</w:t>
      </w:r>
      <w:bookmarkEnd w:id="59"/>
      <w:bookmarkEnd w:id="60"/>
      <w:bookmarkEnd w:id="61"/>
      <w:bookmarkEnd w:id="62"/>
    </w:p>
    <w:p w14:paraId="1D114E2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升政府环境管理效率：为生态环境、卫生、地质等部门提供了统一的天然放射性环境调查规范和技术支撑，确保管理部门监管活动的科学性、精准性和高效性。管理部门能够依据标准规范对调查工作进行监督和管理，提高对放射性环境问题的发现、处理和应对能力，更好地履行环境保护职责，提升政府的环境管理的权威性和公信力。为自治区生态文明建设提供支持，促进经济社会与环境的和谐发展。</w:t>
      </w:r>
    </w:p>
    <w:p w14:paraId="3BF0FF92">
      <w:pPr>
        <w:spacing w:line="360" w:lineRule="auto"/>
        <w:ind w:firstLine="560" w:firstLineChars="200"/>
        <w:rPr>
          <w:rFonts w:ascii="仿宋" w:hAnsi="仿宋" w:eastAsia="仿宋"/>
          <w:sz w:val="28"/>
          <w:szCs w:val="28"/>
        </w:rPr>
      </w:pPr>
      <w:r>
        <w:rPr>
          <w:rFonts w:hint="eastAsia" w:ascii="仿宋" w:hAnsi="仿宋" w:eastAsia="仿宋" w:cs="仿宋"/>
          <w:sz w:val="28"/>
          <w:szCs w:val="28"/>
        </w:rPr>
        <w:t>促进相关产业健康发展：对于涉及放射性的相关产业，如核技术利用、采矿、建筑等，标准的执行对于规范行业操作具有重要意义。本标准能够统一放射性环境调查规范，确保方法和数据的统一性，解决长期以来调查项目差异化问题，进而促进成果转化与应用，为社会经济的发展提供服务。</w:t>
      </w:r>
    </w:p>
    <w:p w14:paraId="27895B1C">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63" w:name="_Toc203050064"/>
      <w:r>
        <w:rPr>
          <w:rFonts w:hint="eastAsia" w:ascii="Times New Roman" w:hAnsi="Times New Roman" w:eastAsia="黑体" w:cs="Times New Roman"/>
          <w:bCs w:val="0"/>
          <w:sz w:val="28"/>
          <w:szCs w:val="21"/>
        </w:rPr>
        <w:t>六、重大意见分歧的处理依据</w:t>
      </w:r>
      <w:r>
        <w:rPr>
          <w:rFonts w:ascii="Times New Roman" w:hAnsi="Times New Roman" w:eastAsia="黑体" w:cs="Times New Roman"/>
          <w:bCs w:val="0"/>
          <w:sz w:val="28"/>
          <w:szCs w:val="21"/>
        </w:rPr>
        <w:t>和结果</w:t>
      </w:r>
      <w:bookmarkEnd w:id="63"/>
    </w:p>
    <w:p w14:paraId="5B78F732">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标准处于征求意见稿阶段，</w:t>
      </w:r>
      <w:r>
        <w:rPr>
          <w:rFonts w:ascii="仿宋_GB2312" w:hAnsi="仿宋_GB2312" w:eastAsia="仿宋_GB2312" w:cs="仿宋_GB2312"/>
          <w:sz w:val="28"/>
          <w:szCs w:val="28"/>
        </w:rPr>
        <w:t>无重大分歧意见。</w:t>
      </w:r>
    </w:p>
    <w:p w14:paraId="4AB01194">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64" w:name="_Toc203050065"/>
      <w:r>
        <w:rPr>
          <w:rFonts w:hint="eastAsia" w:ascii="Times New Roman" w:hAnsi="Times New Roman" w:eastAsia="黑体" w:cs="Times New Roman"/>
          <w:bCs w:val="0"/>
          <w:sz w:val="28"/>
          <w:szCs w:val="21"/>
        </w:rPr>
        <w:t>七、实施</w:t>
      </w:r>
      <w:r>
        <w:rPr>
          <w:rFonts w:ascii="Times New Roman" w:hAnsi="Times New Roman" w:eastAsia="黑体" w:cs="Times New Roman"/>
          <w:bCs w:val="0"/>
          <w:sz w:val="28"/>
          <w:szCs w:val="21"/>
        </w:rPr>
        <w:t>标准的措施及建议</w:t>
      </w:r>
      <w:bookmarkEnd w:id="64"/>
    </w:p>
    <w:p w14:paraId="5F9F417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推动标准的实施，充分发挥本标准对放射性环境调查工作的指导和引领作用，提升工作成效，制定以下实施计划：一是在标准颁布、贯彻实施前，加强宣传报道。及时加强与公众媒体、行业内部甚至对外有关信息渠道的沟通，做好标准发布的宣传及解读。让全区核与辐射领域的单位和个人了解标准的主要内容，引起相关人员的高度重视。使相关单位能够积极主动的获取本标准及相关资料，主动参与到标准的学习和贯彻实施中来。二是</w:t>
      </w:r>
      <w:r>
        <w:rPr>
          <w:rFonts w:ascii="仿宋_GB2312" w:hAnsi="仿宋_GB2312" w:eastAsia="仿宋_GB2312" w:cs="仿宋_GB2312"/>
          <w:sz w:val="28"/>
          <w:szCs w:val="28"/>
        </w:rPr>
        <w:t>成立标准贯彻实施小组</w:t>
      </w:r>
      <w:r>
        <w:rPr>
          <w:rFonts w:hint="eastAsia" w:ascii="仿宋_GB2312" w:hAnsi="仿宋_GB2312" w:eastAsia="仿宋_GB2312" w:cs="仿宋_GB2312"/>
          <w:sz w:val="28"/>
          <w:szCs w:val="28"/>
        </w:rPr>
        <w:t>，充分利用政务网站、公众号等多渠道多手段开展标准宣传，为具体实施的工作人员或单位进行答疑。</w:t>
      </w:r>
    </w:p>
    <w:p w14:paraId="7BA059BC">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65" w:name="_Toc203050066"/>
      <w:r>
        <w:rPr>
          <w:rFonts w:hint="eastAsia" w:ascii="Times New Roman" w:hAnsi="Times New Roman" w:eastAsia="黑体" w:cs="Times New Roman"/>
          <w:bCs w:val="0"/>
          <w:sz w:val="28"/>
          <w:szCs w:val="21"/>
        </w:rPr>
        <w:t>八、知识产权说明</w:t>
      </w:r>
      <w:bookmarkEnd w:id="65"/>
    </w:p>
    <w:p w14:paraId="519F6EC4">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本标准不涉及知识产权。</w:t>
      </w:r>
    </w:p>
    <w:p w14:paraId="6C693D93">
      <w:pPr>
        <w:pStyle w:val="3"/>
        <w:adjustRightInd w:val="0"/>
        <w:snapToGrid w:val="0"/>
        <w:spacing w:before="120" w:after="120" w:line="360" w:lineRule="auto"/>
        <w:ind w:firstLine="562" w:firstLineChars="200"/>
        <w:rPr>
          <w:rFonts w:ascii="Times New Roman" w:hAnsi="Times New Roman" w:eastAsia="黑体" w:cs="Times New Roman"/>
          <w:bCs w:val="0"/>
          <w:sz w:val="28"/>
          <w:szCs w:val="21"/>
        </w:rPr>
      </w:pPr>
      <w:bookmarkStart w:id="66" w:name="_Toc203050067"/>
      <w:r>
        <w:rPr>
          <w:rFonts w:hint="eastAsia" w:ascii="Times New Roman" w:hAnsi="Times New Roman" w:eastAsia="黑体" w:cs="Times New Roman"/>
          <w:bCs w:val="0"/>
          <w:sz w:val="28"/>
          <w:szCs w:val="21"/>
        </w:rPr>
        <w:t>九、其他应说明的事项</w:t>
      </w:r>
      <w:bookmarkEnd w:id="66"/>
    </w:p>
    <w:p w14:paraId="1C6C3195">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67" w:name="_Toc203050068"/>
      <w:r>
        <w:rPr>
          <w:rFonts w:ascii="Times New Roman" w:hAnsi="Times New Roman" w:eastAsia="黑体"/>
          <w:b w:val="0"/>
          <w:bCs/>
          <w:kern w:val="2"/>
          <w:sz w:val="28"/>
          <w:szCs w:val="28"/>
        </w:rPr>
        <w:t>（一）国内相关标准比较说明</w:t>
      </w:r>
      <w:bookmarkEnd w:id="67"/>
    </w:p>
    <w:p w14:paraId="7DB6DA4C">
      <w:pPr>
        <w:spacing w:line="560" w:lineRule="exact"/>
        <w:ind w:firstLine="618" w:firstLineChars="221"/>
        <w:rPr>
          <w:rFonts w:ascii="仿宋_GB2312" w:hAnsi="仿宋_GB2312" w:eastAsia="仿宋_GB2312" w:cs="仿宋_GB2312"/>
          <w:sz w:val="28"/>
          <w:szCs w:val="28"/>
        </w:rPr>
      </w:pPr>
      <w:r>
        <w:rPr>
          <w:rFonts w:hint="eastAsia" w:ascii="仿宋_GB2312" w:hAnsi="仿宋_GB2312" w:eastAsia="仿宋_GB2312" w:cs="仿宋_GB2312"/>
          <w:sz w:val="28"/>
          <w:szCs w:val="28"/>
        </w:rPr>
        <w:t>我国目前设有针对核电厂、</w:t>
      </w:r>
      <w:r>
        <w:rPr>
          <w:rFonts w:ascii="仿宋_GB2312" w:hAnsi="仿宋_GB2312" w:eastAsia="仿宋_GB2312" w:cs="仿宋_GB2312"/>
          <w:sz w:val="28"/>
          <w:szCs w:val="28"/>
        </w:rPr>
        <w:t>核动力厂的环境本底调查</w:t>
      </w:r>
      <w:r>
        <w:rPr>
          <w:rFonts w:hint="eastAsia" w:ascii="仿宋_GB2312" w:hAnsi="仿宋_GB2312" w:eastAsia="仿宋_GB2312" w:cs="仿宋_GB2312"/>
          <w:sz w:val="28"/>
          <w:szCs w:val="28"/>
        </w:rPr>
        <w:t>的国家</w:t>
      </w:r>
      <w:r>
        <w:rPr>
          <w:rFonts w:ascii="仿宋_GB2312" w:hAnsi="仿宋_GB2312" w:eastAsia="仿宋_GB2312" w:cs="仿宋_GB2312"/>
          <w:sz w:val="28"/>
          <w:szCs w:val="28"/>
        </w:rPr>
        <w:t>规范，以及用于辐射环境常规监测（不</w:t>
      </w:r>
      <w:r>
        <w:rPr>
          <w:rFonts w:hint="eastAsia" w:ascii="仿宋_GB2312" w:hAnsi="仿宋_GB2312" w:eastAsia="仿宋_GB2312" w:cs="仿宋_GB2312"/>
          <w:sz w:val="28"/>
          <w:szCs w:val="28"/>
        </w:rPr>
        <w:t>包括</w:t>
      </w:r>
      <w:r>
        <w:rPr>
          <w:rFonts w:ascii="仿宋_GB2312" w:hAnsi="仿宋_GB2312" w:eastAsia="仿宋_GB2312" w:cs="仿宋_GB2312"/>
          <w:sz w:val="28"/>
          <w:szCs w:val="28"/>
        </w:rPr>
        <w:t>调查）的</w:t>
      </w:r>
      <w:r>
        <w:rPr>
          <w:rFonts w:hint="eastAsia" w:ascii="仿宋_GB2312" w:hAnsi="仿宋_GB2312" w:eastAsia="仿宋_GB2312" w:cs="仿宋_GB2312"/>
          <w:sz w:val="28"/>
          <w:szCs w:val="28"/>
        </w:rPr>
        <w:t>相关</w:t>
      </w:r>
      <w:r>
        <w:rPr>
          <w:rFonts w:ascii="仿宋_GB2312" w:hAnsi="仿宋_GB2312" w:eastAsia="仿宋_GB2312" w:cs="仿宋_GB2312"/>
          <w:sz w:val="28"/>
          <w:szCs w:val="28"/>
        </w:rPr>
        <w:t>规范，</w:t>
      </w:r>
      <w:r>
        <w:rPr>
          <w:rFonts w:hint="eastAsia" w:ascii="仿宋_GB2312" w:hAnsi="仿宋_GB2312" w:eastAsia="仿宋_GB2312" w:cs="仿宋_GB2312"/>
          <w:sz w:val="28"/>
          <w:szCs w:val="28"/>
        </w:rPr>
        <w:t>但未以标准的形式出台专门</w:t>
      </w:r>
      <w:r>
        <w:rPr>
          <w:rFonts w:ascii="仿宋_GB2312" w:hAnsi="仿宋_GB2312" w:eastAsia="仿宋_GB2312" w:cs="仿宋_GB2312"/>
          <w:sz w:val="28"/>
          <w:szCs w:val="28"/>
        </w:rPr>
        <w:t>针对区域天然放射性环境调查国家、行业</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地方标准，仅有</w:t>
      </w:r>
      <w:r>
        <w:rPr>
          <w:rFonts w:hint="eastAsia" w:ascii="仿宋_GB2312" w:hAnsi="仿宋_GB2312" w:eastAsia="仿宋_GB2312" w:cs="仿宋_GB2312"/>
          <w:sz w:val="28"/>
          <w:szCs w:val="28"/>
        </w:rPr>
        <w:t>1986年为开展“全国天然放射性水平调查研究”（课题编号：85-4-9），以文件形式下达了《环境天然放射性水平调查规定》（1986环放169号文）</w:t>
      </w:r>
      <w:r>
        <w:rPr>
          <w:rFonts w:ascii="仿宋_GB2312" w:hAnsi="仿宋_GB2312" w:eastAsia="仿宋_GB2312" w:cs="仿宋_GB2312"/>
          <w:sz w:val="28"/>
          <w:szCs w:val="28"/>
        </w:rPr>
        <w:t>。</w:t>
      </w:r>
    </w:p>
    <w:p w14:paraId="6AE18626">
      <w:pPr>
        <w:spacing w:line="560" w:lineRule="exact"/>
        <w:ind w:firstLine="618" w:firstLineChars="221"/>
        <w:rPr>
          <w:rFonts w:ascii="仿宋_GB2312" w:hAnsi="仿宋_GB2312" w:eastAsia="仿宋_GB2312" w:cs="仿宋_GB2312"/>
          <w:sz w:val="28"/>
          <w:szCs w:val="28"/>
        </w:rPr>
      </w:pPr>
      <w:r>
        <w:rPr>
          <w:rFonts w:hint="eastAsia" w:ascii="仿宋_GB2312" w:hAnsi="仿宋_GB2312" w:eastAsia="仿宋_GB2312" w:cs="仿宋_GB2312"/>
          <w:sz w:val="28"/>
          <w:szCs w:val="28"/>
        </w:rPr>
        <w:t>现有关于天然放射性环境调查的国家标准</w:t>
      </w:r>
      <w:r>
        <w:rPr>
          <w:rFonts w:ascii="仿宋_GB2312" w:hAnsi="仿宋_GB2312" w:eastAsia="仿宋_GB2312" w:cs="仿宋_GB2312"/>
          <w:sz w:val="28"/>
          <w:szCs w:val="28"/>
        </w:rPr>
        <w:t>与本次</w:t>
      </w:r>
      <w:r>
        <w:rPr>
          <w:rFonts w:hint="eastAsia" w:ascii="仿宋_GB2312" w:hAnsi="仿宋_GB2312" w:eastAsia="仿宋_GB2312" w:cs="仿宋_GB2312"/>
          <w:sz w:val="28"/>
          <w:szCs w:val="28"/>
        </w:rPr>
        <w:t>计划</w:t>
      </w:r>
      <w:r>
        <w:rPr>
          <w:rFonts w:ascii="仿宋_GB2312" w:hAnsi="仿宋_GB2312" w:eastAsia="仿宋_GB2312" w:cs="仿宋_GB2312"/>
          <w:sz w:val="28"/>
          <w:szCs w:val="28"/>
        </w:rPr>
        <w:t>制</w:t>
      </w:r>
      <w:r>
        <w:rPr>
          <w:rFonts w:hint="eastAsia" w:ascii="仿宋_GB2312" w:hAnsi="仿宋_GB2312" w:eastAsia="仿宋_GB2312" w:cs="仿宋_GB2312"/>
          <w:sz w:val="28"/>
          <w:szCs w:val="28"/>
        </w:rPr>
        <w:t>订</w:t>
      </w:r>
      <w:r>
        <w:rPr>
          <w:rFonts w:ascii="仿宋_GB2312" w:hAnsi="仿宋_GB2312" w:eastAsia="仿宋_GB2312" w:cs="仿宋_GB2312"/>
          <w:sz w:val="28"/>
          <w:szCs w:val="28"/>
        </w:rPr>
        <w:t>标准的主要技术指标对比如下：</w:t>
      </w:r>
    </w:p>
    <w:p w14:paraId="68E45969">
      <w:pPr>
        <w:spacing w:line="560" w:lineRule="exact"/>
        <w:ind w:firstLine="618" w:firstLineChars="221"/>
        <w:rPr>
          <w:rFonts w:ascii="仿宋_GB2312" w:hAnsi="仿宋_GB2312" w:eastAsia="仿宋_GB2312" w:cs="仿宋_GB2312"/>
          <w:sz w:val="28"/>
          <w:szCs w:val="28"/>
        </w:rPr>
      </w:pPr>
      <w:r>
        <w:rPr>
          <w:rFonts w:hint="eastAsia" w:ascii="仿宋_GB2312" w:hAnsi="仿宋_GB2312" w:eastAsia="仿宋_GB2312" w:cs="仿宋_GB2312"/>
          <w:sz w:val="28"/>
          <w:szCs w:val="28"/>
        </w:rPr>
        <w:t>1.原国家环境保护局于1986年6月12日发布的《环境天然放射性水平调查规定》（1986环放169号文），是我国在环境天然放射性水平调查工作方面推行全国的第一份正式规定，为全国范围内规范开展环境天然放射性水平调查工作起到了重要作用。其详细规定了环境天然放射性水平调查工作的领导安排、调查项目、调查方案、调查点布设、数据处理、质量控制、人员组织等内容，但是其仅适用于全国第一次环境天然放射性水平调查。与现在相比，时隔近40年，受制于当时的技术、设备、调查人员综合素质、项目经费等限制，其所设定的调查项目不充分、覆盖面不足，使用的一些检测方法和设备已被更新更先进的技术设备所代替。因此本标准以《环境天然放射性水平调查规定》（1986环放169号文）为蓝本，按照现今社会和科技发展对辐射环境管理工作的需要，结合宁夏地方实际，基于近年来出台的各类放射性环境领域的国家、行业及地方政策和标准进行修改完善。</w:t>
      </w:r>
    </w:p>
    <w:p w14:paraId="1B4709DB">
      <w:pPr>
        <w:spacing w:line="560" w:lineRule="exact"/>
        <w:ind w:firstLine="618" w:firstLineChars="221"/>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.国家能源局于2</w:t>
      </w:r>
      <w:r>
        <w:rPr>
          <w:rFonts w:ascii="仿宋_GB2312" w:hAnsi="仿宋_GB2312" w:eastAsia="仿宋_GB2312" w:cs="仿宋_GB2312"/>
          <w:sz w:val="28"/>
          <w:szCs w:val="28"/>
        </w:rPr>
        <w:t>012年</w:t>
      </w:r>
      <w:r>
        <w:rPr>
          <w:rFonts w:hint="eastAsia" w:ascii="仿宋_GB2312" w:hAnsi="仿宋_GB2312" w:eastAsia="仿宋_GB2312" w:cs="仿宋_GB2312"/>
          <w:sz w:val="28"/>
          <w:szCs w:val="28"/>
        </w:rPr>
        <w:t>1月6日发布的《核电厂环境放射性本底调查技术规范》（</w:t>
      </w:r>
      <w:r>
        <w:rPr>
          <w:rFonts w:ascii="仿宋_GB2312" w:hAnsi="仿宋_GB2312" w:eastAsia="仿宋_GB2312" w:cs="仿宋_GB2312"/>
          <w:sz w:val="28"/>
          <w:szCs w:val="28"/>
        </w:rPr>
        <w:t>NB/T 20139-2012</w:t>
      </w:r>
      <w:r>
        <w:rPr>
          <w:rFonts w:hint="eastAsia" w:ascii="仿宋_GB2312" w:hAnsi="仿宋_GB2312" w:eastAsia="仿宋_GB2312" w:cs="仿宋_GB2312"/>
          <w:sz w:val="28"/>
          <w:szCs w:val="28"/>
        </w:rPr>
        <w:t>），对核电厂申请装料许可证阶段以及其它阶段的环境放射性本底调查的目的、任务和要求、调查范围、布点原则、调查内容与频次、样品的采集、监测方法、数据处理、质量保证/质量控制和报告编写要求等作出规定，为核电厂正常运行及事故情况下的环境辐射监测提供可供比较和解释的本底数据，该标准的本底调查围绕核电厂制定，属区域单个核设施的针对性调查工作，所调查的内容相对天然环境放射性的需求偏差度较大，对区域环境放射性综合调查工作指导性不足。</w:t>
      </w:r>
    </w:p>
    <w:p w14:paraId="0F51E1F1">
      <w:pPr>
        <w:spacing w:line="560" w:lineRule="exact"/>
        <w:ind w:firstLine="618" w:firstLineChars="221"/>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国家生态环境部</w:t>
      </w:r>
      <w:r>
        <w:rPr>
          <w:rFonts w:hint="eastAsia" w:ascii="仿宋_GB2312" w:hAnsi="仿宋_GB2312" w:eastAsia="仿宋_GB2312" w:cs="仿宋_GB2312"/>
          <w:sz w:val="28"/>
          <w:szCs w:val="28"/>
        </w:rPr>
        <w:t>于</w:t>
      </w:r>
      <w:r>
        <w:rPr>
          <w:rFonts w:ascii="仿宋_GB2312" w:hAnsi="仿宋_GB2312" w:eastAsia="仿宋_GB2312" w:cs="仿宋_GB2312"/>
          <w:sz w:val="28"/>
          <w:szCs w:val="28"/>
        </w:rPr>
        <w:t>2018年9月20日</w:t>
      </w:r>
      <w:r>
        <w:rPr>
          <w:rFonts w:hint="eastAsia" w:ascii="仿宋_GB2312" w:hAnsi="仿宋_GB2312" w:eastAsia="仿宋_GB2312" w:cs="仿宋_GB2312"/>
          <w:sz w:val="28"/>
          <w:szCs w:val="28"/>
        </w:rPr>
        <w:t>发布的</w:t>
      </w:r>
      <w:r>
        <w:rPr>
          <w:rFonts w:ascii="仿宋_GB2312" w:hAnsi="仿宋_GB2312" w:eastAsia="仿宋_GB2312" w:cs="仿宋_GB2312"/>
          <w:sz w:val="28"/>
          <w:szCs w:val="28"/>
        </w:rPr>
        <w:t>《核动力厂运行前辐射环境本底调查技术规范》（HJ 969-2018），</w:t>
      </w:r>
      <w:r>
        <w:rPr>
          <w:rFonts w:hint="eastAsia" w:ascii="仿宋_GB2312" w:hAnsi="仿宋_GB2312" w:eastAsia="仿宋_GB2312" w:cs="仿宋_GB2312"/>
          <w:sz w:val="28"/>
          <w:szCs w:val="28"/>
        </w:rPr>
        <w:t>明确</w:t>
      </w:r>
      <w:r>
        <w:rPr>
          <w:rFonts w:ascii="仿宋_GB2312" w:hAnsi="仿宋_GB2312" w:eastAsia="仿宋_GB2312" w:cs="仿宋_GB2312"/>
          <w:sz w:val="28"/>
          <w:szCs w:val="28"/>
        </w:rPr>
        <w:t>核动力厂新厂址选址和核动力厂运行前辐射环境本底调查的技术要求，主要是针对核动力厂本身及</w:t>
      </w:r>
      <w:r>
        <w:rPr>
          <w:rFonts w:hint="eastAsia" w:ascii="仿宋_GB2312" w:hAnsi="仿宋_GB2312" w:eastAsia="仿宋_GB2312" w:cs="仿宋_GB2312"/>
          <w:sz w:val="28"/>
          <w:szCs w:val="28"/>
        </w:rPr>
        <w:t>其</w:t>
      </w:r>
      <w:r>
        <w:rPr>
          <w:rFonts w:ascii="仿宋_GB2312" w:hAnsi="仿宋_GB2312" w:eastAsia="仿宋_GB2312" w:cs="仿宋_GB2312"/>
          <w:sz w:val="28"/>
          <w:szCs w:val="28"/>
        </w:rPr>
        <w:t>影响范围内的环境本底调查，</w:t>
      </w:r>
      <w:r>
        <w:rPr>
          <w:rFonts w:hint="eastAsia" w:ascii="仿宋_GB2312" w:hAnsi="仿宋_GB2312" w:eastAsia="仿宋_GB2312" w:cs="仿宋_GB2312"/>
          <w:sz w:val="28"/>
          <w:szCs w:val="28"/>
        </w:rPr>
        <w:t>旨在为</w:t>
      </w:r>
      <w:r>
        <w:rPr>
          <w:rFonts w:ascii="仿宋_GB2312" w:hAnsi="仿宋_GB2312" w:eastAsia="仿宋_GB2312" w:cs="仿宋_GB2312"/>
          <w:sz w:val="28"/>
          <w:szCs w:val="28"/>
        </w:rPr>
        <w:t>评价核动力厂址适宜性提供辐射环境特征</w:t>
      </w:r>
      <w:r>
        <w:rPr>
          <w:rFonts w:hint="eastAsia" w:ascii="仿宋_GB2312" w:hAnsi="仿宋_GB2312" w:eastAsia="仿宋_GB2312" w:cs="仿宋_GB2312"/>
          <w:sz w:val="28"/>
          <w:szCs w:val="28"/>
        </w:rPr>
        <w:t>数据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该规范</w:t>
      </w:r>
      <w:r>
        <w:rPr>
          <w:rFonts w:ascii="仿宋_GB2312" w:hAnsi="仿宋_GB2312" w:eastAsia="仿宋_GB2312" w:cs="仿宋_GB2312"/>
          <w:sz w:val="28"/>
          <w:szCs w:val="28"/>
        </w:rPr>
        <w:t>未对核动力厂影响范围外的天然放射性环境调查进行</w:t>
      </w:r>
      <w:r>
        <w:rPr>
          <w:rFonts w:hint="eastAsia" w:ascii="仿宋_GB2312" w:hAnsi="仿宋_GB2312" w:eastAsia="仿宋_GB2312" w:cs="仿宋_GB2312"/>
          <w:sz w:val="28"/>
          <w:szCs w:val="28"/>
        </w:rPr>
        <w:t>规定，对区域环境放射性综合调查工作指导性不足。</w:t>
      </w:r>
    </w:p>
    <w:p w14:paraId="12A9C611">
      <w:pPr>
        <w:spacing w:line="560" w:lineRule="exact"/>
        <w:ind w:firstLine="618" w:firstLineChars="221"/>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.国家</w:t>
      </w:r>
      <w:r>
        <w:rPr>
          <w:rFonts w:ascii="仿宋_GB2312" w:hAnsi="仿宋_GB2312" w:eastAsia="仿宋_GB2312" w:cs="仿宋_GB2312"/>
          <w:sz w:val="28"/>
          <w:szCs w:val="28"/>
        </w:rPr>
        <w:t>生态环境部</w:t>
      </w:r>
      <w:r>
        <w:rPr>
          <w:rFonts w:hint="eastAsia" w:ascii="仿宋_GB2312" w:hAnsi="仿宋_GB2312" w:eastAsia="仿宋_GB2312" w:cs="仿宋_GB2312"/>
          <w:sz w:val="28"/>
          <w:szCs w:val="28"/>
        </w:rPr>
        <w:t>于</w:t>
      </w:r>
      <w:r>
        <w:rPr>
          <w:rFonts w:ascii="仿宋_GB2312" w:hAnsi="仿宋_GB2312" w:eastAsia="仿宋_GB2312" w:cs="仿宋_GB2312"/>
          <w:sz w:val="28"/>
          <w:szCs w:val="28"/>
        </w:rPr>
        <w:t>2021年2月24日</w:t>
      </w:r>
      <w:r>
        <w:rPr>
          <w:rFonts w:hint="eastAsia" w:ascii="仿宋_GB2312" w:hAnsi="仿宋_GB2312" w:eastAsia="仿宋_GB2312" w:cs="仿宋_GB2312"/>
          <w:sz w:val="28"/>
          <w:szCs w:val="28"/>
        </w:rPr>
        <w:t>发布的</w:t>
      </w:r>
      <w:r>
        <w:rPr>
          <w:rFonts w:ascii="仿宋_GB2312" w:hAnsi="仿宋_GB2312" w:eastAsia="仿宋_GB2312" w:cs="仿宋_GB2312"/>
          <w:sz w:val="28"/>
          <w:szCs w:val="28"/>
        </w:rPr>
        <w:t>《辐射环境监测技术规范》（HJ 61-2021），规定辐射环境质量监测、辐射源环境监测的主要技术要求，包括现场监测、样品采集、样品预处理和管理、监测分析方法、数据处理与结果表示、质量保证和报告编写等方面的内容。</w:t>
      </w:r>
      <w:r>
        <w:rPr>
          <w:rFonts w:hint="eastAsia" w:ascii="仿宋_GB2312" w:hAnsi="仿宋_GB2312" w:eastAsia="仿宋_GB2312" w:cs="仿宋_GB2312"/>
          <w:sz w:val="28"/>
          <w:szCs w:val="28"/>
        </w:rPr>
        <w:t>该规范</w:t>
      </w:r>
      <w:r>
        <w:rPr>
          <w:rFonts w:ascii="仿宋_GB2312" w:hAnsi="仿宋_GB2312" w:eastAsia="仿宋_GB2312" w:cs="仿宋_GB2312"/>
          <w:sz w:val="28"/>
          <w:szCs w:val="28"/>
        </w:rPr>
        <w:t>未对天然放射性环境调查的目的、任务、要求、调查点布设方法、调查内容、数据处理、质量控制和报告编写要求等进行</w:t>
      </w:r>
      <w:r>
        <w:rPr>
          <w:rFonts w:hint="eastAsia" w:ascii="仿宋_GB2312" w:hAnsi="仿宋_GB2312" w:eastAsia="仿宋_GB2312" w:cs="仿宋_GB2312"/>
          <w:sz w:val="28"/>
          <w:szCs w:val="28"/>
        </w:rPr>
        <w:t>详细规定</w:t>
      </w:r>
      <w:r>
        <w:rPr>
          <w:rFonts w:ascii="仿宋_GB2312" w:hAnsi="仿宋_GB2312" w:eastAsia="仿宋_GB2312" w:cs="仿宋_GB2312"/>
          <w:sz w:val="28"/>
          <w:szCs w:val="28"/>
        </w:rPr>
        <w:t>，主要是对环境放射性监测作出技术规定，监测项目或指标</w:t>
      </w:r>
      <w:r>
        <w:rPr>
          <w:rFonts w:hint="eastAsia" w:ascii="仿宋_GB2312" w:hAnsi="仿宋_GB2312" w:eastAsia="仿宋_GB2312" w:cs="仿宋_GB2312"/>
          <w:sz w:val="28"/>
          <w:szCs w:val="28"/>
        </w:rPr>
        <w:t>亦</w:t>
      </w:r>
      <w:r>
        <w:rPr>
          <w:rFonts w:ascii="仿宋_GB2312" w:hAnsi="仿宋_GB2312" w:eastAsia="仿宋_GB2312" w:cs="仿宋_GB2312"/>
          <w:sz w:val="28"/>
          <w:szCs w:val="28"/>
        </w:rPr>
        <w:t>未</w:t>
      </w:r>
      <w:r>
        <w:rPr>
          <w:rFonts w:hint="eastAsia" w:ascii="仿宋_GB2312" w:hAnsi="仿宋_GB2312" w:eastAsia="仿宋_GB2312" w:cs="仿宋_GB2312"/>
          <w:sz w:val="28"/>
          <w:szCs w:val="28"/>
        </w:rPr>
        <w:t>包括</w:t>
      </w:r>
      <w:r>
        <w:rPr>
          <w:rFonts w:ascii="仿宋_GB2312" w:hAnsi="仿宋_GB2312" w:eastAsia="仿宋_GB2312" w:cs="仿宋_GB2312"/>
          <w:sz w:val="28"/>
          <w:szCs w:val="28"/>
        </w:rPr>
        <w:t>土壤氡浓度等指标。但是该规范作为辐射环境领域内的</w:t>
      </w:r>
      <w:r>
        <w:rPr>
          <w:rFonts w:hint="eastAsia" w:ascii="仿宋_GB2312" w:hAnsi="仿宋_GB2312" w:eastAsia="仿宋_GB2312" w:cs="仿宋_GB2312"/>
          <w:sz w:val="28"/>
          <w:szCs w:val="28"/>
        </w:rPr>
        <w:t>重要技术规范，对辐射检测工作提供了重要的技术支撑，其样品采集、样品预处理和管理、分析方法、数据处理与结果表示、质量保证等内容是本标准重要的参考引用资料。</w:t>
      </w:r>
    </w:p>
    <w:p w14:paraId="16202676">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68" w:name="_Toc203050069"/>
      <w:r>
        <w:rPr>
          <w:rFonts w:ascii="Times New Roman" w:hAnsi="Times New Roman" w:eastAsia="黑体"/>
          <w:b w:val="0"/>
          <w:bCs/>
          <w:kern w:val="2"/>
          <w:sz w:val="28"/>
          <w:szCs w:val="28"/>
        </w:rPr>
        <w:t>（二）国际相关标准比较说明</w:t>
      </w:r>
      <w:bookmarkEnd w:id="68"/>
    </w:p>
    <w:p w14:paraId="6A703DC1">
      <w:pPr>
        <w:spacing w:line="560" w:lineRule="exact"/>
        <w:ind w:firstLine="618" w:firstLineChars="221"/>
        <w:rPr>
          <w:rFonts w:ascii="仿宋_GB2312" w:hAnsi="仿宋_GB2312" w:eastAsia="仿宋_GB2312" w:cs="仿宋_GB2312"/>
          <w:sz w:val="28"/>
          <w:szCs w:val="28"/>
        </w:rPr>
      </w:pPr>
      <w:r>
        <w:rPr>
          <w:rFonts w:ascii="仿宋_GB2312" w:hAnsi="仿宋_GB2312" w:eastAsia="仿宋_GB2312" w:cs="仿宋_GB2312"/>
          <w:sz w:val="28"/>
          <w:szCs w:val="28"/>
        </w:rPr>
        <w:t>国际上的涉及天然放射性调查的标准</w:t>
      </w:r>
      <w:r>
        <w:rPr>
          <w:rFonts w:hint="eastAsia" w:ascii="仿宋_GB2312" w:hAnsi="仿宋_GB2312" w:eastAsia="仿宋_GB2312" w:cs="仿宋_GB2312"/>
          <w:sz w:val="28"/>
          <w:szCs w:val="28"/>
        </w:rPr>
        <w:t>在我国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特别是宁夏</w:t>
      </w:r>
      <w:r>
        <w:rPr>
          <w:rFonts w:ascii="仿宋_GB2312" w:hAnsi="仿宋_GB2312" w:eastAsia="仿宋_GB2312" w:cs="仿宋_GB2312"/>
          <w:sz w:val="28"/>
          <w:szCs w:val="28"/>
        </w:rPr>
        <w:t>境内适应性较差，</w:t>
      </w:r>
      <w:r>
        <w:rPr>
          <w:rFonts w:hint="eastAsia" w:ascii="仿宋_GB2312" w:hAnsi="仿宋_GB2312" w:eastAsia="仿宋_GB2312" w:cs="仿宋_GB2312"/>
          <w:sz w:val="28"/>
          <w:szCs w:val="28"/>
        </w:rPr>
        <w:t>仅对关键要点做简述</w:t>
      </w:r>
      <w:r>
        <w:rPr>
          <w:rFonts w:ascii="仿宋_GB2312" w:hAnsi="仿宋_GB2312" w:eastAsia="仿宋_GB2312" w:cs="仿宋_GB2312"/>
          <w:sz w:val="28"/>
          <w:szCs w:val="28"/>
        </w:rPr>
        <w:t>。</w:t>
      </w:r>
    </w:p>
    <w:p w14:paraId="6EFDFA7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根据UNSCEAR（联合国原子辐射效应科学委员会）1988年报告，自20世纪60年代以来，全球已有23个国家和地区进行了不同规模的天然放射性水平调查。在UNSCEAR 2000报告中，陆地γ辐射剂量率的结果引用了53个国家的调查文献资料。以上报告主要介绍的是世界各国天然放射性水平调查结果，对调查使用的方法未做详细描述。</w:t>
      </w:r>
    </w:p>
    <w:p w14:paraId="207F846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目前收集到具有代表性的标准为IAEA（国际原子能机构） 64号报告（</w:t>
      </w:r>
      <w:r>
        <w:rPr>
          <w:rFonts w:ascii="仿宋" w:hAnsi="仿宋" w:eastAsia="仿宋" w:cs="Arial"/>
          <w:sz w:val="28"/>
          <w:szCs w:val="28"/>
        </w:rPr>
        <w:t>《Programmes and Systems for Source and Environmental Radiation Monitoring》</w:t>
      </w:r>
      <w:r>
        <w:rPr>
          <w:rFonts w:hint="eastAsia" w:ascii="仿宋_GB2312" w:hAnsi="仿宋_GB2312" w:eastAsia="仿宋_GB2312" w:cs="仿宋_GB2312"/>
          <w:sz w:val="28"/>
          <w:szCs w:val="28"/>
        </w:rPr>
        <w:t>2010），主要介绍了有关辐射源监测、辐射环境监测、应急监测的监测项目、布点采样、分析测量方法和监测质量保证等方面的原则性要求，未做详细的调查技术规定。</w:t>
      </w:r>
    </w:p>
    <w:p w14:paraId="5707019D">
      <w:pPr>
        <w:pStyle w:val="2"/>
        <w:keepNext/>
        <w:keepLines/>
        <w:adjustRightInd w:val="0"/>
        <w:snapToGrid w:val="0"/>
        <w:spacing w:before="156" w:beforeLines="50" w:beforeAutospacing="0" w:after="0" w:afterAutospacing="0" w:line="360" w:lineRule="auto"/>
        <w:ind w:firstLine="560" w:firstLineChars="200"/>
        <w:jc w:val="both"/>
        <w:rPr>
          <w:rFonts w:hint="default" w:ascii="Times New Roman" w:hAnsi="Times New Roman" w:eastAsia="黑体"/>
          <w:b w:val="0"/>
          <w:bCs/>
          <w:kern w:val="2"/>
          <w:sz w:val="28"/>
          <w:szCs w:val="28"/>
        </w:rPr>
      </w:pPr>
      <w:bookmarkStart w:id="69" w:name="_Toc203050070"/>
      <w:r>
        <w:rPr>
          <w:rFonts w:ascii="Times New Roman" w:hAnsi="Times New Roman" w:eastAsia="黑体"/>
          <w:b w:val="0"/>
          <w:bCs/>
          <w:kern w:val="2"/>
          <w:sz w:val="28"/>
          <w:szCs w:val="28"/>
        </w:rPr>
        <w:t>（三）宁夏放射性环境调查历史及现状</w:t>
      </w:r>
      <w:bookmarkEnd w:id="69"/>
    </w:p>
    <w:p w14:paraId="42D5C59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实际工作中，据前人资料表明，宁夏境内部分区域存在放射性异常现象。通过调查，在不同地层中参考铀矿勘查标准已发现各类γ异常近4300处，其中形成放射性矿点8处，矿化点25处，主要分布于贺兰山北段、宁东地区、卫宁北山、六盘山盆地南缘和彭阳地区。</w:t>
      </w:r>
    </w:p>
    <w:p w14:paraId="1E0A1EB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1986年—1988年，原宁夏环保局根据原国家环境保护局科技三项费用课题“全国天然放射性水平调查研究”（课题编号：85-4-9）以及《关于印发&lt;环境天然放射性水平调查规定&gt;的通知》（86）环放字第169号文件要求开展了《宁夏自治区环境天然放射性水平调查研究》课题，首次采用25×25km均匀网格布点方法，对宁夏全区天然放射性水平进行了调查研究，摸清了宁夏环境贯穿辐射剂量率分布，土壤中铀、镭、钍、钾含量，水体中铀、镭、钍、钾浓度的水平状况。形成的成果一直沿用到今天，成为全区天然辐射环境影响与评价的基础数据资料。随后宁夏大规模天然放射性水平调查停滞，只有少量地质部门铀矿勘查、卫生部门职业健康检查等对部分区域的放射性水平开展了调查工作。</w:t>
      </w:r>
    </w:p>
    <w:p w14:paraId="05499C7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002</w:t>
      </w:r>
      <w:r>
        <w:rPr>
          <w:rFonts w:hint="eastAsia" w:ascii="仿宋_GB2312" w:hAnsi="仿宋_GB2312" w:eastAsia="仿宋_GB2312" w:cs="仿宋_GB2312"/>
          <w:sz w:val="28"/>
          <w:szCs w:val="28"/>
        </w:rPr>
        <w:t>年，国家统一部署开始全国辐射环境监测体系建设，2003年全国辐射环境监测方案发布，宁夏开始辐射环境监测工作，所获取的数据定期上报生态环境部，汇总成为全国辐射环境质量报告并向社会发布。</w:t>
      </w:r>
    </w:p>
    <w:p w14:paraId="740535D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2003年《中华人民共和国环境影响评价法》开始实施，各环境影响评价机构依法开展评价工作，辐射环境作为生态环境的重要组成部分而被纳入到评价体系，各环评机构按照法律和规范要求，就区域放射性环境水平开展了不同程度的调查工作。</w:t>
      </w:r>
    </w:p>
    <w:p w14:paraId="06F0199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006</w:t>
      </w:r>
      <w:r>
        <w:rPr>
          <w:rFonts w:hint="eastAsia" w:ascii="仿宋_GB2312" w:hAnsi="仿宋_GB2312" w:eastAsia="仿宋_GB2312" w:cs="仿宋_GB2312"/>
          <w:sz w:val="28"/>
          <w:szCs w:val="28"/>
        </w:rPr>
        <w:t>年—2009年自治区核与辐射安全中心根据《国务院关于开展第一次全国污染源普查的通知》（国发〔2006〕36号）精神和《放射性污染源普查监测技术规定》、《伴生放射性污染源普查监测有关问题的说明》等文件要求，在全区范围内开展了第一次污染源普查伴生放射性矿普查工作，初步摸清了宁夏辖区内伴生放射性矿污染企业的数量、行业和地区分布情况。</w:t>
      </w:r>
    </w:p>
    <w:p w14:paraId="441228E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2017年—2019年，自治区核与辐射安全中心根据《国务院关于开展第二次全国污染源普查的通知》（国发〔2016〕</w:t>
      </w:r>
      <w:r>
        <w:rPr>
          <w:rFonts w:ascii="仿宋_GB2312" w:hAnsi="仿宋_GB2312" w:eastAsia="仿宋_GB2312" w:cs="仿宋_GB2312"/>
          <w:sz w:val="28"/>
          <w:szCs w:val="28"/>
        </w:rPr>
        <w:t>59</w:t>
      </w:r>
      <w:r>
        <w:rPr>
          <w:rFonts w:hint="eastAsia" w:ascii="仿宋_GB2312" w:hAnsi="仿宋_GB2312" w:eastAsia="仿宋_GB2312" w:cs="仿宋_GB2312"/>
          <w:sz w:val="28"/>
          <w:szCs w:val="28"/>
        </w:rPr>
        <w:t>号）精神和《第二次全国污染源普查伴生放射性矿监测技术规范》（试行）文件要求，在全区范围内开展了第二次污染源普查伴生放射性矿普查工作，掌握了宁夏辖区内伴生放射性矿污染企业的数量、行业和地区分布情况，建立健全了重点污染源档案、污染源信息数据库和环境统计平台，为制定社会经济发展和环境保护政策、规划提供了依据。</w:t>
      </w:r>
    </w:p>
    <w:p w14:paraId="07B7A2C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2021年，自治区核与辐射安全中心依据自治区生态环境厅的统一规划，开展了《黄河流域宁夏段水环境放射性水平调查》项目。调查目的旨在为相关管理部门提供科学依据，以提出针对性的建议和控制措施，从而有效预防放射性污染风险事件的发生。该项目主要聚焦于黄河流域宁夏段水环境的放射性监测工作，通过对比分析不同季节——包括枯水期和平水期的放射性指标，探究该流域及其周边水环境潜在的放射性安全隐患。</w:t>
      </w:r>
    </w:p>
    <w:p w14:paraId="1B972188">
      <w:pPr>
        <w:spacing w:line="560" w:lineRule="exact"/>
        <w:ind w:firstLine="560" w:firstLineChars="200"/>
        <w:rPr>
          <w:rFonts w:ascii="仿宋_GB2312" w:hAnsi="仿宋_GB2312" w:eastAsia="仿宋_GB2312" w:cs="仿宋_GB2312"/>
          <w:sz w:val="28"/>
          <w:szCs w:val="28"/>
        </w:rPr>
        <w:sectPr>
          <w:pgSz w:w="11906" w:h="16838"/>
          <w:pgMar w:top="1984" w:right="1587" w:bottom="2098" w:left="1474" w:header="851" w:footer="992" w:gutter="0"/>
          <w:cols w:space="425" w:num="1"/>
          <w:docGrid w:type="lines" w:linePitch="312" w:charSpace="0"/>
        </w:sectPr>
      </w:pPr>
      <w:r>
        <w:rPr>
          <w:rFonts w:hint="eastAsia" w:ascii="仿宋_GB2312" w:hAnsi="仿宋_GB2312" w:eastAsia="仿宋_GB2312" w:cs="仿宋_GB2312"/>
          <w:sz w:val="28"/>
          <w:szCs w:val="28"/>
        </w:rPr>
        <w:t>自治区核调院2017年—2023年在宁夏全区先后实施了多项天然放射性水平调查项目，与《宁夏自治区环境天然放射性水平调查研究》（1988）项目相比，时隔近40年，重新查明北到石嘴山市惠农区，南至中卫市沙坡头区等沿黄市县（区）的环境天然放射性水平，为生态环境建设大数据共享平台提供环境放射性数据，为积极预防和控制放射性污染及危害提供科学依据。在调查过程中，也发现近40年时间，随着人类生产、生活等活动的加剧，一些区域的天然放射性水平已有了不同程度的变化，总体呈现升高趋势，为公众带来更多的额外辐射剂量。</w:t>
      </w:r>
    </w:p>
    <w:p w14:paraId="5CFF2128">
      <w:pPr>
        <w:pStyle w:val="2"/>
        <w:spacing w:before="0" w:beforeAutospacing="0" w:after="0" w:afterAutospacing="0" w:line="600" w:lineRule="exact"/>
        <w:jc w:val="center"/>
        <w:rPr>
          <w:rFonts w:hint="default" w:ascii="方正小标宋_GBK" w:hAnsi="黑体" w:eastAsia="方正小标宋_GBK"/>
          <w:b w:val="0"/>
          <w:bCs/>
          <w:sz w:val="44"/>
          <w:szCs w:val="44"/>
        </w:rPr>
      </w:pPr>
      <w:bookmarkStart w:id="70" w:name="_Toc203050071"/>
      <w:r>
        <w:rPr>
          <w:rFonts w:ascii="方正小标宋_GBK" w:hAnsi="黑体" w:eastAsia="方正小标宋_GBK"/>
          <w:b w:val="0"/>
          <w:bCs/>
          <w:sz w:val="44"/>
          <w:szCs w:val="44"/>
        </w:rPr>
        <w:t>宁夏回族自治区</w:t>
      </w:r>
      <w:r>
        <w:rPr>
          <w:rFonts w:ascii="方正小标宋_GBK" w:hAnsi="黑体" w:eastAsia="方正小标宋_GBK"/>
          <w:b w:val="0"/>
          <w:bCs/>
          <w:sz w:val="44"/>
          <w:szCs w:val="44"/>
          <w:u w:val="single"/>
        </w:rPr>
        <w:t xml:space="preserve">  天然放射性环境调查技术规范  </w:t>
      </w:r>
      <w:r>
        <w:rPr>
          <w:rFonts w:ascii="方正小标宋_GBK" w:hAnsi="黑体" w:eastAsia="方正小标宋_GBK"/>
          <w:b w:val="0"/>
          <w:bCs/>
          <w:sz w:val="44"/>
          <w:szCs w:val="44"/>
        </w:rPr>
        <w:t>地方标准征求意见汇总处理表</w:t>
      </w:r>
      <w:bookmarkEnd w:id="70"/>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44"/>
        <w:gridCol w:w="6099"/>
        <w:gridCol w:w="1710"/>
        <w:gridCol w:w="802"/>
      </w:tblGrid>
      <w:tr w14:paraId="37E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42A7DCB7">
            <w:pPr>
              <w:snapToGrid w:val="0"/>
              <w:jc w:val="center"/>
              <w:rPr>
                <w:rFonts w:ascii="仿宋_GB2312" w:hAnsi="宋体" w:eastAsia="仿宋_GB2312" w:cs="Times New Roman"/>
                <w:sz w:val="24"/>
              </w:rPr>
            </w:pPr>
            <w:r>
              <w:rPr>
                <w:rFonts w:hint="eastAsia" w:ascii="仿宋_GB2312" w:hAnsi="宋体" w:eastAsia="仿宋_GB2312" w:cs="Times New Roman"/>
                <w:sz w:val="24"/>
              </w:rPr>
              <w:t>序号</w:t>
            </w:r>
          </w:p>
        </w:tc>
        <w:tc>
          <w:tcPr>
            <w:tcW w:w="1366" w:type="pct"/>
            <w:vAlign w:val="center"/>
          </w:tcPr>
          <w:p w14:paraId="3CCB2283">
            <w:pPr>
              <w:snapToGrid w:val="0"/>
              <w:jc w:val="center"/>
              <w:rPr>
                <w:rFonts w:ascii="仿宋_GB2312" w:hAnsi="宋体" w:eastAsia="仿宋_GB2312" w:cs="Times New Roman"/>
                <w:sz w:val="24"/>
              </w:rPr>
            </w:pPr>
            <w:r>
              <w:rPr>
                <w:rFonts w:hint="eastAsia" w:ascii="仿宋_GB2312" w:hAnsi="宋体" w:eastAsia="仿宋_GB2312" w:cs="Times New Roman"/>
                <w:sz w:val="24"/>
              </w:rPr>
              <w:t>意见章条及</w:t>
            </w:r>
          </w:p>
          <w:p w14:paraId="57F7C0BF">
            <w:pPr>
              <w:snapToGrid w:val="0"/>
              <w:jc w:val="center"/>
              <w:rPr>
                <w:rFonts w:ascii="仿宋_GB2312" w:hAnsi="宋体" w:eastAsia="仿宋_GB2312" w:cs="Times New Roman"/>
                <w:sz w:val="24"/>
              </w:rPr>
            </w:pPr>
            <w:r>
              <w:rPr>
                <w:rFonts w:hint="eastAsia" w:ascii="仿宋_GB2312" w:hAnsi="宋体" w:eastAsia="仿宋_GB2312" w:cs="Times New Roman"/>
                <w:sz w:val="24"/>
              </w:rPr>
              <w:t>原标准内容</w:t>
            </w:r>
          </w:p>
        </w:tc>
        <w:tc>
          <w:tcPr>
            <w:tcW w:w="2351" w:type="pct"/>
            <w:vAlign w:val="center"/>
          </w:tcPr>
          <w:p w14:paraId="56AA5253">
            <w:pPr>
              <w:snapToGrid w:val="0"/>
              <w:jc w:val="center"/>
              <w:rPr>
                <w:rFonts w:ascii="仿宋_GB2312" w:hAnsi="宋体" w:eastAsia="仿宋_GB2312" w:cs="Times New Roman"/>
                <w:sz w:val="24"/>
              </w:rPr>
            </w:pPr>
            <w:r>
              <w:rPr>
                <w:rFonts w:hint="eastAsia" w:ascii="仿宋_GB2312" w:hAnsi="宋体" w:eastAsia="仿宋_GB2312" w:cs="Times New Roman"/>
                <w:sz w:val="24"/>
              </w:rPr>
              <w:t>修改意见及依据</w:t>
            </w:r>
          </w:p>
        </w:tc>
        <w:tc>
          <w:tcPr>
            <w:tcW w:w="659" w:type="pct"/>
            <w:vAlign w:val="center"/>
          </w:tcPr>
          <w:p w14:paraId="5F252C6B">
            <w:pPr>
              <w:snapToGrid w:val="0"/>
              <w:jc w:val="center"/>
              <w:rPr>
                <w:rFonts w:ascii="仿宋_GB2312" w:hAnsi="宋体" w:eastAsia="仿宋_GB2312" w:cs="Times New Roman"/>
                <w:sz w:val="24"/>
              </w:rPr>
            </w:pPr>
            <w:r>
              <w:rPr>
                <w:rFonts w:hint="eastAsia" w:ascii="仿宋_GB2312" w:hAnsi="宋体" w:eastAsia="仿宋_GB2312" w:cs="Times New Roman"/>
                <w:sz w:val="24"/>
              </w:rPr>
              <w:t>提出单位</w:t>
            </w:r>
          </w:p>
        </w:tc>
        <w:tc>
          <w:tcPr>
            <w:tcW w:w="309" w:type="pct"/>
            <w:vAlign w:val="center"/>
          </w:tcPr>
          <w:p w14:paraId="3025DEC9">
            <w:pPr>
              <w:snapToGrid w:val="0"/>
              <w:jc w:val="center"/>
              <w:rPr>
                <w:rFonts w:ascii="仿宋_GB2312" w:hAnsi="宋体" w:eastAsia="仿宋_GB2312" w:cs="Times New Roman"/>
                <w:sz w:val="24"/>
              </w:rPr>
            </w:pPr>
            <w:r>
              <w:rPr>
                <w:rFonts w:hint="eastAsia" w:ascii="仿宋_GB2312" w:hAnsi="宋体" w:eastAsia="仿宋_GB2312" w:cs="Times New Roman"/>
                <w:sz w:val="24"/>
              </w:rPr>
              <w:t>意见处理</w:t>
            </w:r>
          </w:p>
        </w:tc>
      </w:tr>
      <w:tr w14:paraId="48D8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3F0D31AA">
            <w:pPr>
              <w:jc w:val="center"/>
              <w:rPr>
                <w:rFonts w:ascii="仿宋_GB2312" w:eastAsia="仿宋_GB2312" w:cs="Times New Roman" w:hAnsiTheme="minorEastAsia"/>
                <w:sz w:val="24"/>
              </w:rPr>
            </w:pPr>
            <w:r>
              <w:rPr>
                <w:rFonts w:hint="eastAsia" w:ascii="仿宋_GB2312" w:eastAsia="仿宋_GB2312" w:cs="Times New Roman" w:hAnsiTheme="minorEastAsia"/>
                <w:sz w:val="24"/>
              </w:rPr>
              <w:t>1</w:t>
            </w:r>
          </w:p>
        </w:tc>
        <w:tc>
          <w:tcPr>
            <w:tcW w:w="1366" w:type="pct"/>
            <w:vAlign w:val="center"/>
          </w:tcPr>
          <w:p w14:paraId="7837155B">
            <w:pPr>
              <w:jc w:val="left"/>
              <w:rPr>
                <w:rFonts w:ascii="仿宋_GB2312" w:hAnsi="宋体" w:eastAsia="仿宋_GB2312" w:cs="宋体"/>
                <w:sz w:val="24"/>
              </w:rPr>
            </w:pPr>
            <w:r>
              <w:rPr>
                <w:rFonts w:hint="eastAsia" w:ascii="仿宋_GB2312" w:hAnsi="宋体" w:eastAsia="仿宋_GB2312" w:cs="宋体"/>
                <w:sz w:val="24"/>
                <w:lang w:bidi="ar"/>
              </w:rPr>
              <w:t>对本标准内的调查内容进行再次确认合适，再次斟酌具体的调查核素。</w:t>
            </w:r>
          </w:p>
        </w:tc>
        <w:tc>
          <w:tcPr>
            <w:tcW w:w="2351" w:type="pct"/>
            <w:vAlign w:val="center"/>
          </w:tcPr>
          <w:p w14:paraId="743B32A6">
            <w:pPr>
              <w:jc w:val="left"/>
              <w:rPr>
                <w:rFonts w:ascii="仿宋_GB2312" w:hAnsi="宋体" w:eastAsia="仿宋_GB2312" w:cs="宋体"/>
                <w:sz w:val="24"/>
              </w:rPr>
            </w:pPr>
            <w:r>
              <w:rPr>
                <w:rFonts w:hint="eastAsia" w:ascii="仿宋_GB2312" w:hAnsi="宋体" w:eastAsia="仿宋_GB2312" w:cs="宋体"/>
                <w:sz w:val="24"/>
              </w:rPr>
              <w:t>本研究对本标准所确立的调查指标及其采样分析方法进行了重新梳理，并对过去35年全国范围内开展的天然放射性调查工作进行了综合研究，最终明确了调查原则，并确定了调查核素。详见标准正文5.2及编制说明p18-p24页内容。</w:t>
            </w:r>
          </w:p>
        </w:tc>
        <w:tc>
          <w:tcPr>
            <w:tcW w:w="659" w:type="pct"/>
            <w:vAlign w:val="center"/>
          </w:tcPr>
          <w:p w14:paraId="1E130E68">
            <w:pPr>
              <w:snapToGrid w:val="0"/>
              <w:jc w:val="left"/>
              <w:rPr>
                <w:rFonts w:ascii="仿宋_GB2312" w:eastAsia="仿宋_GB2312" w:cs="宋体" w:hAnsiTheme="minorEastAsia"/>
                <w:sz w:val="24"/>
              </w:rPr>
            </w:pPr>
            <w:r>
              <w:rPr>
                <w:rFonts w:hint="eastAsia" w:ascii="仿宋_GB2312" w:eastAsia="仿宋_GB2312" w:cs="宋体" w:hAnsiTheme="minorEastAsia"/>
                <w:sz w:val="24"/>
              </w:rPr>
              <w:t>中国辐射防护研究院研究员廉冰</w:t>
            </w:r>
          </w:p>
        </w:tc>
        <w:tc>
          <w:tcPr>
            <w:tcW w:w="309" w:type="pct"/>
            <w:vAlign w:val="center"/>
          </w:tcPr>
          <w:p w14:paraId="5C1C683F">
            <w:pPr>
              <w:jc w:val="left"/>
              <w:rPr>
                <w:rFonts w:ascii="仿宋_GB2312" w:eastAsia="仿宋_GB2312"/>
                <w:sz w:val="24"/>
              </w:rPr>
            </w:pPr>
            <w:r>
              <w:rPr>
                <w:rFonts w:hint="eastAsia" w:ascii="仿宋_GB2312" w:eastAsia="仿宋_GB2312" w:cs="仿宋_GB2312" w:hAnsiTheme="minorEastAsia"/>
                <w:bCs/>
                <w:sz w:val="24"/>
              </w:rPr>
              <w:t>全部采纳</w:t>
            </w:r>
          </w:p>
        </w:tc>
      </w:tr>
      <w:tr w14:paraId="7A48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27AEB493">
            <w:pPr>
              <w:jc w:val="center"/>
              <w:rPr>
                <w:rFonts w:ascii="仿宋_GB2312" w:eastAsia="仿宋_GB2312" w:cs="Times New Roman" w:hAnsiTheme="minorEastAsia"/>
                <w:sz w:val="24"/>
              </w:rPr>
            </w:pPr>
            <w:r>
              <w:rPr>
                <w:rFonts w:hint="eastAsia" w:ascii="仿宋_GB2312" w:eastAsia="仿宋_GB2312" w:cs="Times New Roman" w:hAnsiTheme="minorEastAsia"/>
                <w:sz w:val="24"/>
              </w:rPr>
              <w:t>2</w:t>
            </w:r>
          </w:p>
        </w:tc>
        <w:tc>
          <w:tcPr>
            <w:tcW w:w="1366" w:type="pct"/>
            <w:vAlign w:val="center"/>
          </w:tcPr>
          <w:p w14:paraId="74524038">
            <w:pPr>
              <w:jc w:val="left"/>
              <w:rPr>
                <w:rFonts w:ascii="仿宋_GB2312" w:hAnsi="宋体" w:eastAsia="仿宋_GB2312" w:cs="宋体"/>
                <w:sz w:val="24"/>
              </w:rPr>
            </w:pPr>
            <w:r>
              <w:rPr>
                <w:rFonts w:hint="eastAsia" w:ascii="仿宋_GB2312" w:hAnsi="宋体" w:eastAsia="仿宋_GB2312" w:cs="宋体"/>
                <w:sz w:val="24"/>
                <w:lang w:bidi="ar"/>
              </w:rPr>
              <w:t>对规范内的引用的规范进行核实，对附录A中的各检测分析标准进行核实，规范各个标准编号</w:t>
            </w:r>
          </w:p>
        </w:tc>
        <w:tc>
          <w:tcPr>
            <w:tcW w:w="2351" w:type="pct"/>
            <w:vAlign w:val="center"/>
          </w:tcPr>
          <w:p w14:paraId="127695DD">
            <w:pPr>
              <w:jc w:val="left"/>
              <w:rPr>
                <w:rFonts w:ascii="仿宋_GB2312" w:hAnsi="宋体" w:eastAsia="仿宋_GB2312" w:cs="宋体"/>
                <w:sz w:val="24"/>
              </w:rPr>
            </w:pPr>
            <w:r>
              <w:rPr>
                <w:rFonts w:hint="eastAsia" w:ascii="仿宋_GB2312" w:hAnsi="宋体" w:eastAsia="仿宋_GB2312" w:cs="宋体"/>
                <w:sz w:val="24"/>
              </w:rPr>
              <w:t>根据既定的调查指标，参照最新颁布的标准规范，本文已进行相应的修订与完善。详见标准正文第2章内容。</w:t>
            </w:r>
          </w:p>
        </w:tc>
        <w:tc>
          <w:tcPr>
            <w:tcW w:w="659" w:type="pct"/>
            <w:vAlign w:val="center"/>
          </w:tcPr>
          <w:p w14:paraId="6A5FF9F4">
            <w:pPr>
              <w:jc w:val="left"/>
              <w:rPr>
                <w:rFonts w:ascii="仿宋_GB2312" w:eastAsia="仿宋_GB2312"/>
                <w:sz w:val="24"/>
              </w:rPr>
            </w:pPr>
            <w:r>
              <w:rPr>
                <w:rFonts w:hint="eastAsia" w:ascii="仿宋_GB2312" w:eastAsia="仿宋_GB2312" w:cs="宋体" w:hAnsiTheme="minorEastAsia"/>
                <w:sz w:val="24"/>
              </w:rPr>
              <w:t>中国辐射防护研究院研究员廉冰</w:t>
            </w:r>
          </w:p>
        </w:tc>
        <w:tc>
          <w:tcPr>
            <w:tcW w:w="309" w:type="pct"/>
            <w:vAlign w:val="center"/>
          </w:tcPr>
          <w:p w14:paraId="7F04E818">
            <w:pPr>
              <w:jc w:val="left"/>
              <w:rPr>
                <w:rFonts w:ascii="仿宋_GB2312" w:eastAsia="仿宋_GB2312"/>
                <w:sz w:val="24"/>
              </w:rPr>
            </w:pPr>
            <w:r>
              <w:rPr>
                <w:rFonts w:hint="eastAsia" w:ascii="仿宋_GB2312" w:eastAsia="仿宋_GB2312" w:cs="仿宋_GB2312" w:hAnsiTheme="minorEastAsia"/>
                <w:bCs/>
                <w:sz w:val="24"/>
              </w:rPr>
              <w:t>全部采纳</w:t>
            </w:r>
          </w:p>
        </w:tc>
      </w:tr>
      <w:tr w14:paraId="3DDF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570C64F3">
            <w:pPr>
              <w:jc w:val="center"/>
              <w:rPr>
                <w:rFonts w:ascii="仿宋_GB2312" w:eastAsia="仿宋_GB2312" w:cs="Times New Roman" w:hAnsiTheme="minorEastAsia"/>
                <w:sz w:val="24"/>
              </w:rPr>
            </w:pPr>
            <w:r>
              <w:rPr>
                <w:rFonts w:hint="eastAsia" w:ascii="仿宋_GB2312" w:eastAsia="仿宋_GB2312" w:cs="Times New Roman" w:hAnsiTheme="minorEastAsia"/>
                <w:sz w:val="24"/>
              </w:rPr>
              <w:t>3</w:t>
            </w:r>
          </w:p>
        </w:tc>
        <w:tc>
          <w:tcPr>
            <w:tcW w:w="1366" w:type="pct"/>
            <w:vAlign w:val="center"/>
          </w:tcPr>
          <w:p w14:paraId="11899845">
            <w:pPr>
              <w:jc w:val="left"/>
              <w:rPr>
                <w:rFonts w:ascii="仿宋_GB2312" w:hAnsi="宋体" w:eastAsia="仿宋_GB2312" w:cs="宋体"/>
                <w:sz w:val="24"/>
              </w:rPr>
            </w:pPr>
            <w:r>
              <w:rPr>
                <w:rFonts w:hint="eastAsia" w:ascii="仿宋_GB2312" w:hAnsi="宋体" w:eastAsia="仿宋_GB2312" w:cs="宋体"/>
                <w:sz w:val="24"/>
                <w:lang w:bidi="ar"/>
              </w:rPr>
              <w:t>对文中的术语和定义、专业用语进行规范，核实氡析出率测量要求。</w:t>
            </w:r>
          </w:p>
        </w:tc>
        <w:tc>
          <w:tcPr>
            <w:tcW w:w="2351" w:type="pct"/>
            <w:vAlign w:val="center"/>
          </w:tcPr>
          <w:p w14:paraId="66A3484F">
            <w:pPr>
              <w:jc w:val="left"/>
              <w:rPr>
                <w:rFonts w:ascii="仿宋_GB2312" w:hAnsi="宋体" w:eastAsia="仿宋_GB2312" w:cs="宋体"/>
                <w:sz w:val="24"/>
              </w:rPr>
            </w:pPr>
            <w:r>
              <w:rPr>
                <w:rFonts w:hint="eastAsia" w:ascii="仿宋_GB2312" w:hAnsi="宋体" w:eastAsia="仿宋_GB2312" w:cs="宋体"/>
                <w:sz w:val="24"/>
              </w:rPr>
              <w:t>本文对所有专业术语及文章内容进行了全面的修订与完善，统一了术语用词，同时对调查指标进行了优化，其中删除了氡析出率这一指标。详见正文第3章内容。</w:t>
            </w:r>
          </w:p>
        </w:tc>
        <w:tc>
          <w:tcPr>
            <w:tcW w:w="659" w:type="pct"/>
            <w:vAlign w:val="center"/>
          </w:tcPr>
          <w:p w14:paraId="2119F636">
            <w:pPr>
              <w:jc w:val="left"/>
              <w:rPr>
                <w:rFonts w:ascii="仿宋_GB2312" w:eastAsia="仿宋_GB2312"/>
                <w:sz w:val="24"/>
              </w:rPr>
            </w:pPr>
            <w:r>
              <w:rPr>
                <w:rFonts w:hint="eastAsia" w:ascii="仿宋_GB2312" w:eastAsia="仿宋_GB2312" w:cs="宋体" w:hAnsiTheme="minorEastAsia"/>
                <w:sz w:val="24"/>
              </w:rPr>
              <w:t>中国辐射防护研究院研究员廉冰</w:t>
            </w:r>
          </w:p>
        </w:tc>
        <w:tc>
          <w:tcPr>
            <w:tcW w:w="309" w:type="pct"/>
            <w:vAlign w:val="center"/>
          </w:tcPr>
          <w:p w14:paraId="7C074497">
            <w:pPr>
              <w:jc w:val="left"/>
              <w:rPr>
                <w:rFonts w:ascii="仿宋_GB2312" w:eastAsia="仿宋_GB2312"/>
                <w:sz w:val="24"/>
              </w:rPr>
            </w:pPr>
            <w:r>
              <w:rPr>
                <w:rFonts w:hint="eastAsia" w:ascii="仿宋_GB2312" w:eastAsia="仿宋_GB2312" w:cs="仿宋_GB2312" w:hAnsiTheme="minorEastAsia"/>
                <w:bCs/>
                <w:sz w:val="24"/>
              </w:rPr>
              <w:t>全部采纳</w:t>
            </w:r>
          </w:p>
        </w:tc>
      </w:tr>
      <w:tr w14:paraId="0414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38A456AB">
            <w:pPr>
              <w:jc w:val="center"/>
              <w:rPr>
                <w:rFonts w:ascii="仿宋_GB2312" w:eastAsia="仿宋_GB2312" w:cs="Times New Roman" w:hAnsiTheme="minorEastAsia"/>
                <w:sz w:val="24"/>
              </w:rPr>
            </w:pPr>
            <w:r>
              <w:rPr>
                <w:rFonts w:hint="eastAsia" w:ascii="仿宋_GB2312" w:eastAsia="仿宋_GB2312" w:cs="Times New Roman" w:hAnsiTheme="minorEastAsia"/>
                <w:sz w:val="24"/>
              </w:rPr>
              <w:t>4</w:t>
            </w:r>
          </w:p>
        </w:tc>
        <w:tc>
          <w:tcPr>
            <w:tcW w:w="1366" w:type="pct"/>
            <w:vAlign w:val="center"/>
          </w:tcPr>
          <w:p w14:paraId="139DA35C">
            <w:pPr>
              <w:jc w:val="left"/>
              <w:rPr>
                <w:rFonts w:ascii="仿宋_GB2312" w:hAnsi="宋体" w:eastAsia="仿宋_GB2312" w:cs="宋体"/>
                <w:sz w:val="24"/>
              </w:rPr>
            </w:pPr>
            <w:r>
              <w:rPr>
                <w:rFonts w:hint="eastAsia" w:ascii="仿宋_GB2312" w:hAnsi="宋体" w:eastAsia="仿宋_GB2312" w:cs="宋体"/>
                <w:sz w:val="24"/>
              </w:rPr>
              <w:t>本规范应明确调查的目标和对象，建议本标准是否不再考虑流出物和局部场址污染的调查，重点放射性环境放射性调查方面。</w:t>
            </w:r>
          </w:p>
        </w:tc>
        <w:tc>
          <w:tcPr>
            <w:tcW w:w="2351" w:type="pct"/>
            <w:vAlign w:val="center"/>
          </w:tcPr>
          <w:p w14:paraId="2190AD9B">
            <w:pPr>
              <w:jc w:val="left"/>
              <w:rPr>
                <w:rFonts w:ascii="仿宋_GB2312" w:hAnsi="宋体" w:eastAsia="仿宋_GB2312" w:cs="宋体"/>
                <w:sz w:val="24"/>
              </w:rPr>
            </w:pPr>
            <w:r>
              <w:rPr>
                <w:rFonts w:hint="eastAsia" w:ascii="仿宋_GB2312" w:hAnsi="宋体" w:eastAsia="仿宋_GB2312" w:cs="宋体"/>
                <w:sz w:val="24"/>
              </w:rPr>
              <w:t>经综合分析国内不同地区的工作资料，本研究最终确定了调查目标和检测项目。针对特定场地及其排放物进行了调查研究，并计划依据GB23726和HJ61标准对伴生矿产及铀矿资源进行相应的调查工作。详见标准正文5.2及编制说明p18-p24页内容。</w:t>
            </w:r>
          </w:p>
        </w:tc>
        <w:tc>
          <w:tcPr>
            <w:tcW w:w="659" w:type="pct"/>
            <w:vAlign w:val="center"/>
          </w:tcPr>
          <w:p w14:paraId="4660DB17">
            <w:pPr>
              <w:jc w:val="left"/>
              <w:rPr>
                <w:rFonts w:ascii="仿宋_GB2312" w:eastAsia="仿宋_GB2312" w:cs="宋体" w:hAnsiTheme="minorEastAsia"/>
                <w:sz w:val="24"/>
              </w:rPr>
            </w:pPr>
            <w:r>
              <w:rPr>
                <w:rFonts w:hint="eastAsia" w:ascii="仿宋_GB2312" w:eastAsia="仿宋_GB2312" w:cs="宋体" w:hAnsiTheme="minorEastAsia"/>
                <w:sz w:val="24"/>
              </w:rPr>
              <w:t>中核第四研究设计工程有限公司研究员刘晓超</w:t>
            </w:r>
          </w:p>
        </w:tc>
        <w:tc>
          <w:tcPr>
            <w:tcW w:w="309" w:type="pct"/>
            <w:vAlign w:val="center"/>
          </w:tcPr>
          <w:p w14:paraId="0CC1DBA6">
            <w:pPr>
              <w:jc w:val="left"/>
              <w:rPr>
                <w:rFonts w:ascii="仿宋_GB2312" w:eastAsia="仿宋_GB2312" w:cs="仿宋_GB2312" w:hAnsiTheme="minorEastAsia"/>
                <w:bCs/>
                <w:sz w:val="24"/>
              </w:rPr>
            </w:pPr>
            <w:r>
              <w:rPr>
                <w:rFonts w:hint="eastAsia" w:ascii="仿宋_GB2312" w:eastAsia="仿宋_GB2312" w:cs="仿宋_GB2312" w:hAnsiTheme="minorEastAsia"/>
                <w:bCs/>
                <w:sz w:val="24"/>
              </w:rPr>
              <w:t>全部采纳</w:t>
            </w:r>
          </w:p>
        </w:tc>
      </w:tr>
      <w:tr w14:paraId="15D9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12D20C7B">
            <w:pPr>
              <w:jc w:val="center"/>
              <w:rPr>
                <w:rFonts w:ascii="仿宋_GB2312" w:eastAsia="仿宋_GB2312" w:cs="Times New Roman" w:hAnsiTheme="minorEastAsia"/>
                <w:sz w:val="24"/>
              </w:rPr>
            </w:pPr>
            <w:r>
              <w:rPr>
                <w:rFonts w:hint="eastAsia" w:ascii="仿宋_GB2312" w:eastAsia="仿宋_GB2312" w:cs="Times New Roman" w:hAnsiTheme="minorEastAsia"/>
                <w:sz w:val="24"/>
              </w:rPr>
              <w:t>5</w:t>
            </w:r>
          </w:p>
        </w:tc>
        <w:tc>
          <w:tcPr>
            <w:tcW w:w="1366" w:type="pct"/>
            <w:vAlign w:val="center"/>
          </w:tcPr>
          <w:p w14:paraId="1F3574CC">
            <w:pPr>
              <w:jc w:val="left"/>
              <w:rPr>
                <w:rFonts w:ascii="仿宋_GB2312" w:hAnsi="宋体" w:eastAsia="仿宋_GB2312" w:cs="宋体"/>
                <w:sz w:val="24"/>
              </w:rPr>
            </w:pPr>
            <w:r>
              <w:rPr>
                <w:rFonts w:hint="eastAsia" w:ascii="仿宋_GB2312" w:hAnsi="宋体" w:eastAsia="仿宋_GB2312" w:cs="宋体"/>
                <w:sz w:val="24"/>
              </w:rPr>
              <w:t>建议重新梳理天然放射性核素的检测项目，建议关注两个长寿命核素Pb-210、Po-210。</w:t>
            </w:r>
          </w:p>
        </w:tc>
        <w:tc>
          <w:tcPr>
            <w:tcW w:w="2351" w:type="pct"/>
            <w:vAlign w:val="center"/>
          </w:tcPr>
          <w:p w14:paraId="60CE6CBB">
            <w:pPr>
              <w:jc w:val="left"/>
              <w:rPr>
                <w:rFonts w:ascii="仿宋_GB2312" w:hAnsi="宋体" w:eastAsia="仿宋_GB2312" w:cs="宋体"/>
                <w:sz w:val="24"/>
              </w:rPr>
            </w:pPr>
            <w:r>
              <w:rPr>
                <w:rFonts w:hint="eastAsia" w:ascii="仿宋_GB2312" w:hAnsi="宋体" w:eastAsia="仿宋_GB2312" w:cs="宋体"/>
                <w:sz w:val="24"/>
              </w:rPr>
              <w:t>基于实际操作技能（含实验室分析能力）与国内各相关单位在国内天然放射性环境调查方面的经验，参照《HJ61》标准及全国辐射环境质量报告中的规定，本研究最终确定了核素检测项目，未纳入两个长寿命核素 Pb-210 和 Po-210。详见标准正文5.2及编制说明p18-p24页内容。</w:t>
            </w:r>
          </w:p>
        </w:tc>
        <w:tc>
          <w:tcPr>
            <w:tcW w:w="659" w:type="pct"/>
            <w:vAlign w:val="center"/>
          </w:tcPr>
          <w:p w14:paraId="6A2E2BBB">
            <w:pPr>
              <w:jc w:val="left"/>
              <w:rPr>
                <w:rFonts w:ascii="仿宋_GB2312" w:eastAsia="仿宋_GB2312"/>
                <w:sz w:val="24"/>
              </w:rPr>
            </w:pPr>
            <w:r>
              <w:rPr>
                <w:rFonts w:hint="eastAsia" w:ascii="仿宋_GB2312" w:eastAsia="仿宋_GB2312" w:cs="宋体" w:hAnsiTheme="minorEastAsia"/>
                <w:sz w:val="24"/>
              </w:rPr>
              <w:t>中核第四研究设计工程有限公司研究员刘晓超</w:t>
            </w:r>
          </w:p>
        </w:tc>
        <w:tc>
          <w:tcPr>
            <w:tcW w:w="309" w:type="pct"/>
            <w:vAlign w:val="center"/>
          </w:tcPr>
          <w:p w14:paraId="0850910F">
            <w:pPr>
              <w:jc w:val="left"/>
              <w:rPr>
                <w:rFonts w:ascii="仿宋_GB2312" w:eastAsia="仿宋_GB2312" w:cs="仿宋_GB2312" w:hAnsiTheme="minorEastAsia"/>
                <w:bCs/>
                <w:sz w:val="24"/>
              </w:rPr>
            </w:pPr>
            <w:r>
              <w:rPr>
                <w:rFonts w:hint="eastAsia" w:ascii="仿宋_GB2312" w:eastAsia="仿宋_GB2312" w:cs="仿宋_GB2312" w:hAnsiTheme="minorEastAsia"/>
                <w:bCs/>
                <w:sz w:val="24"/>
              </w:rPr>
              <w:t>全部采纳</w:t>
            </w:r>
          </w:p>
        </w:tc>
      </w:tr>
      <w:tr w14:paraId="039A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597731A8">
            <w:pPr>
              <w:jc w:val="center"/>
              <w:rPr>
                <w:rFonts w:ascii="仿宋_GB2312" w:eastAsia="仿宋_GB2312" w:cs="Times New Roman" w:hAnsiTheme="minorEastAsia"/>
                <w:sz w:val="24"/>
              </w:rPr>
            </w:pPr>
            <w:r>
              <w:rPr>
                <w:rFonts w:hint="eastAsia" w:ascii="仿宋_GB2312" w:eastAsia="仿宋_GB2312" w:cs="Times New Roman" w:hAnsiTheme="minorEastAsia"/>
                <w:sz w:val="24"/>
              </w:rPr>
              <w:t>6</w:t>
            </w:r>
          </w:p>
        </w:tc>
        <w:tc>
          <w:tcPr>
            <w:tcW w:w="1366" w:type="pct"/>
            <w:vAlign w:val="center"/>
          </w:tcPr>
          <w:p w14:paraId="4CB8D6F1">
            <w:pPr>
              <w:jc w:val="left"/>
              <w:rPr>
                <w:rFonts w:ascii="仿宋_GB2312" w:hAnsi="宋体" w:eastAsia="仿宋_GB2312" w:cs="宋体"/>
                <w:sz w:val="24"/>
              </w:rPr>
            </w:pPr>
            <w:r>
              <w:rPr>
                <w:rFonts w:hint="eastAsia" w:ascii="仿宋_GB2312" w:hAnsi="宋体" w:eastAsia="仿宋_GB2312" w:cs="宋体"/>
                <w:sz w:val="24"/>
              </w:rPr>
              <w:t>考虑到宁夏没有核电、后处理等民用核设施，建议第6章提到的用语进行优化更改。</w:t>
            </w:r>
          </w:p>
        </w:tc>
        <w:tc>
          <w:tcPr>
            <w:tcW w:w="2351" w:type="pct"/>
            <w:vAlign w:val="center"/>
          </w:tcPr>
          <w:p w14:paraId="6A1ABE61">
            <w:pPr>
              <w:jc w:val="left"/>
              <w:rPr>
                <w:rFonts w:ascii="仿宋_GB2312" w:hAnsi="宋体" w:eastAsia="仿宋_GB2312" w:cs="宋体"/>
                <w:sz w:val="24"/>
              </w:rPr>
            </w:pPr>
            <w:r>
              <w:rPr>
                <w:rFonts w:hint="eastAsia" w:ascii="仿宋_GB2312" w:hAnsi="宋体" w:eastAsia="仿宋_GB2312" w:cs="宋体"/>
                <w:sz w:val="24"/>
              </w:rPr>
              <w:t>对全文的规范性用语进行了统一，修正了标准正文中的术语，以确保前后一致。详见标准正文第3章内容。</w:t>
            </w:r>
          </w:p>
        </w:tc>
        <w:tc>
          <w:tcPr>
            <w:tcW w:w="659" w:type="pct"/>
            <w:vAlign w:val="center"/>
          </w:tcPr>
          <w:p w14:paraId="1F067F7C">
            <w:pPr>
              <w:jc w:val="left"/>
              <w:rPr>
                <w:rFonts w:ascii="仿宋_GB2312" w:eastAsia="仿宋_GB2312"/>
                <w:sz w:val="24"/>
              </w:rPr>
            </w:pPr>
            <w:r>
              <w:rPr>
                <w:rFonts w:hint="eastAsia" w:ascii="仿宋_GB2312" w:eastAsia="仿宋_GB2312" w:cs="宋体" w:hAnsiTheme="minorEastAsia"/>
                <w:sz w:val="24"/>
              </w:rPr>
              <w:t>中核第四研究设计工程有限公司研究员刘晓超</w:t>
            </w:r>
          </w:p>
        </w:tc>
        <w:tc>
          <w:tcPr>
            <w:tcW w:w="309" w:type="pct"/>
            <w:vAlign w:val="center"/>
          </w:tcPr>
          <w:p w14:paraId="57556F45">
            <w:pPr>
              <w:jc w:val="left"/>
              <w:rPr>
                <w:rFonts w:ascii="仿宋_GB2312" w:eastAsia="仿宋_GB2312" w:cs="仿宋_GB2312" w:hAnsiTheme="minorEastAsia"/>
                <w:bCs/>
                <w:sz w:val="24"/>
              </w:rPr>
            </w:pPr>
            <w:r>
              <w:rPr>
                <w:rFonts w:hint="eastAsia" w:ascii="仿宋_GB2312" w:eastAsia="仿宋_GB2312" w:cs="仿宋_GB2312" w:hAnsiTheme="minorEastAsia"/>
                <w:bCs/>
                <w:sz w:val="24"/>
              </w:rPr>
              <w:t>全部采纳</w:t>
            </w:r>
          </w:p>
        </w:tc>
      </w:tr>
      <w:tr w14:paraId="4230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5902959E">
            <w:pPr>
              <w:jc w:val="center"/>
              <w:rPr>
                <w:rFonts w:ascii="仿宋_GB2312" w:eastAsia="仿宋_GB2312" w:cs="Times New Roman" w:hAnsiTheme="minorEastAsia"/>
                <w:sz w:val="24"/>
              </w:rPr>
            </w:pPr>
            <w:r>
              <w:rPr>
                <w:rFonts w:hint="eastAsia" w:ascii="仿宋_GB2312" w:eastAsia="仿宋_GB2312" w:cs="Times New Roman" w:hAnsiTheme="minorEastAsia"/>
                <w:sz w:val="24"/>
              </w:rPr>
              <w:t>7</w:t>
            </w:r>
          </w:p>
        </w:tc>
        <w:tc>
          <w:tcPr>
            <w:tcW w:w="1366" w:type="pct"/>
            <w:vAlign w:val="center"/>
          </w:tcPr>
          <w:p w14:paraId="5332AF5B">
            <w:pPr>
              <w:jc w:val="left"/>
              <w:rPr>
                <w:rFonts w:ascii="仿宋_GB2312" w:hAnsi="宋体" w:eastAsia="仿宋_GB2312" w:cs="宋体"/>
                <w:sz w:val="24"/>
              </w:rPr>
            </w:pPr>
            <w:r>
              <w:rPr>
                <w:rFonts w:hint="eastAsia" w:ascii="仿宋_GB2312" w:hAnsi="宋体" w:eastAsia="仿宋_GB2312" w:cs="宋体"/>
                <w:sz w:val="24"/>
              </w:rPr>
              <w:t>建议对氡浓度的测定重新梳理，结合卫生部门和建材部门的关注点，对氡浓度的检测进行斟酌</w:t>
            </w:r>
          </w:p>
        </w:tc>
        <w:tc>
          <w:tcPr>
            <w:tcW w:w="2351" w:type="pct"/>
            <w:vAlign w:val="center"/>
          </w:tcPr>
          <w:p w14:paraId="5A7E118B">
            <w:pPr>
              <w:jc w:val="left"/>
              <w:rPr>
                <w:rFonts w:ascii="仿宋_GB2312" w:hAnsi="宋体" w:eastAsia="仿宋_GB2312" w:cs="宋体"/>
                <w:sz w:val="24"/>
              </w:rPr>
            </w:pPr>
            <w:r>
              <w:rPr>
                <w:rFonts w:hint="eastAsia" w:ascii="仿宋_GB2312" w:hAnsi="宋体" w:eastAsia="仿宋_GB2312" w:cs="宋体"/>
                <w:sz w:val="24"/>
              </w:rPr>
              <w:t>经过严谨的比较分析，结合国内博士论文研究成果与不同区域的实际工作经验，建议将土壤氡浓度与水中氡浓度纳入必测指标体系，而空气氡浓度则作为可选测项目。详见编制说明p19-p25页内容。</w:t>
            </w:r>
          </w:p>
        </w:tc>
        <w:tc>
          <w:tcPr>
            <w:tcW w:w="659" w:type="pct"/>
            <w:vAlign w:val="center"/>
          </w:tcPr>
          <w:p w14:paraId="3173F962">
            <w:pPr>
              <w:jc w:val="left"/>
              <w:rPr>
                <w:rFonts w:ascii="仿宋_GB2312" w:eastAsia="仿宋_GB2312"/>
                <w:sz w:val="24"/>
              </w:rPr>
            </w:pPr>
            <w:r>
              <w:rPr>
                <w:rFonts w:hint="eastAsia" w:ascii="仿宋_GB2312" w:eastAsia="仿宋_GB2312" w:cs="宋体" w:hAnsiTheme="minorEastAsia"/>
                <w:sz w:val="24"/>
              </w:rPr>
              <w:t>中核第四研究设计工程有限公司研究员刘晓超</w:t>
            </w:r>
          </w:p>
        </w:tc>
        <w:tc>
          <w:tcPr>
            <w:tcW w:w="309" w:type="pct"/>
            <w:vAlign w:val="center"/>
          </w:tcPr>
          <w:p w14:paraId="4932F00E">
            <w:pPr>
              <w:jc w:val="left"/>
              <w:rPr>
                <w:rFonts w:ascii="仿宋_GB2312" w:eastAsia="仿宋_GB2312" w:cs="仿宋_GB2312" w:hAnsiTheme="minorEastAsia"/>
                <w:bCs/>
                <w:sz w:val="24"/>
              </w:rPr>
            </w:pPr>
            <w:r>
              <w:rPr>
                <w:rFonts w:hint="eastAsia" w:ascii="仿宋_GB2312" w:eastAsia="仿宋_GB2312" w:cs="仿宋_GB2312" w:hAnsiTheme="minorEastAsia"/>
                <w:bCs/>
                <w:sz w:val="24"/>
              </w:rPr>
              <w:t>全部采纳</w:t>
            </w:r>
          </w:p>
        </w:tc>
      </w:tr>
      <w:tr w14:paraId="1D62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4B375597">
            <w:pPr>
              <w:jc w:val="center"/>
              <w:rPr>
                <w:rFonts w:ascii="仿宋_GB2312" w:eastAsia="仿宋_GB2312" w:cs="Times New Roman" w:hAnsiTheme="minorEastAsia"/>
                <w:sz w:val="24"/>
              </w:rPr>
            </w:pPr>
            <w:r>
              <w:rPr>
                <w:rFonts w:hint="eastAsia" w:ascii="仿宋_GB2312" w:eastAsia="仿宋_GB2312" w:cs="Times New Roman" w:hAnsiTheme="minorEastAsia"/>
                <w:sz w:val="24"/>
              </w:rPr>
              <w:t>8</w:t>
            </w:r>
          </w:p>
        </w:tc>
        <w:tc>
          <w:tcPr>
            <w:tcW w:w="1366" w:type="pct"/>
            <w:vAlign w:val="center"/>
          </w:tcPr>
          <w:p w14:paraId="24DB54E1">
            <w:pPr>
              <w:jc w:val="left"/>
              <w:rPr>
                <w:rFonts w:ascii="仿宋_GB2312" w:hAnsi="宋体" w:eastAsia="仿宋_GB2312" w:cs="宋体"/>
                <w:sz w:val="24"/>
              </w:rPr>
            </w:pPr>
            <w:r>
              <w:rPr>
                <w:rFonts w:hint="eastAsia" w:ascii="仿宋_GB2312" w:hAnsi="宋体" w:eastAsia="仿宋_GB2312" w:cs="宋体"/>
                <w:sz w:val="24"/>
              </w:rPr>
              <w:t>统一规范文内术语定义，重新梳理术语定义部分</w:t>
            </w:r>
          </w:p>
        </w:tc>
        <w:tc>
          <w:tcPr>
            <w:tcW w:w="2351" w:type="pct"/>
            <w:vAlign w:val="center"/>
          </w:tcPr>
          <w:p w14:paraId="0D53F91C">
            <w:pPr>
              <w:jc w:val="left"/>
              <w:rPr>
                <w:rFonts w:ascii="仿宋_GB2312" w:hAnsi="宋体" w:eastAsia="仿宋_GB2312" w:cs="宋体"/>
                <w:sz w:val="24"/>
              </w:rPr>
            </w:pPr>
            <w:r>
              <w:rPr>
                <w:rFonts w:hint="eastAsia" w:ascii="仿宋_GB2312" w:hAnsi="宋体" w:eastAsia="仿宋_GB2312" w:cs="宋体"/>
                <w:sz w:val="24"/>
              </w:rPr>
              <w:t>对文本中的专业术语进行了重新整理，确保了术语的准确性和可追溯性。详见标准正文第3章内容及编制说明p11-p13页内容。</w:t>
            </w:r>
          </w:p>
        </w:tc>
        <w:tc>
          <w:tcPr>
            <w:tcW w:w="659" w:type="pct"/>
            <w:vAlign w:val="center"/>
          </w:tcPr>
          <w:p w14:paraId="69885194">
            <w:pPr>
              <w:jc w:val="left"/>
              <w:rPr>
                <w:rFonts w:ascii="仿宋_GB2312" w:eastAsia="仿宋_GB2312"/>
                <w:sz w:val="24"/>
              </w:rPr>
            </w:pPr>
            <w:r>
              <w:rPr>
                <w:rFonts w:hint="eastAsia" w:ascii="仿宋_GB2312" w:eastAsia="仿宋_GB2312" w:cs="宋体" w:hAnsiTheme="minorEastAsia"/>
                <w:sz w:val="24"/>
              </w:rPr>
              <w:t>中核第四研究设计工程有限公司研究员刘晓超</w:t>
            </w:r>
          </w:p>
        </w:tc>
        <w:tc>
          <w:tcPr>
            <w:tcW w:w="309" w:type="pct"/>
            <w:vAlign w:val="center"/>
          </w:tcPr>
          <w:p w14:paraId="2DAE93A0">
            <w:pPr>
              <w:jc w:val="left"/>
              <w:rPr>
                <w:rFonts w:ascii="仿宋_GB2312" w:eastAsia="仿宋_GB2312" w:cs="仿宋_GB2312" w:hAnsiTheme="minorEastAsia"/>
                <w:bCs/>
                <w:sz w:val="24"/>
              </w:rPr>
            </w:pPr>
            <w:r>
              <w:rPr>
                <w:rFonts w:hint="eastAsia" w:ascii="仿宋_GB2312" w:eastAsia="仿宋_GB2312" w:cs="仿宋_GB2312" w:hAnsiTheme="minorEastAsia"/>
                <w:bCs/>
                <w:sz w:val="24"/>
              </w:rPr>
              <w:t>全部采纳</w:t>
            </w:r>
          </w:p>
        </w:tc>
      </w:tr>
      <w:tr w14:paraId="7315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5C68C84E">
            <w:pPr>
              <w:jc w:val="center"/>
              <w:rPr>
                <w:rFonts w:ascii="仿宋_GB2312" w:eastAsia="仿宋_GB2312" w:cs="Times New Roman" w:hAnsiTheme="minorEastAsia"/>
                <w:sz w:val="24"/>
              </w:rPr>
            </w:pPr>
            <w:r>
              <w:rPr>
                <w:rFonts w:hint="eastAsia" w:ascii="仿宋_GB2312" w:eastAsia="仿宋_GB2312" w:cs="Times New Roman" w:hAnsiTheme="minorEastAsia"/>
                <w:sz w:val="24"/>
              </w:rPr>
              <w:t>9</w:t>
            </w:r>
          </w:p>
        </w:tc>
        <w:tc>
          <w:tcPr>
            <w:tcW w:w="1366" w:type="pct"/>
            <w:vAlign w:val="center"/>
          </w:tcPr>
          <w:p w14:paraId="3AD94E93">
            <w:pPr>
              <w:jc w:val="left"/>
              <w:rPr>
                <w:rFonts w:ascii="仿宋_GB2312" w:hAnsi="宋体" w:eastAsia="仿宋_GB2312" w:cs="宋体"/>
                <w:sz w:val="24"/>
              </w:rPr>
            </w:pPr>
            <w:r>
              <w:rPr>
                <w:rFonts w:hint="eastAsia" w:ascii="仿宋_GB2312" w:hAnsi="宋体" w:eastAsia="仿宋_GB2312" w:cs="宋体"/>
                <w:sz w:val="24"/>
              </w:rPr>
              <w:t>合适修改术语定义的表述，对格式进行重新修订，统一前后文的表述</w:t>
            </w:r>
          </w:p>
        </w:tc>
        <w:tc>
          <w:tcPr>
            <w:tcW w:w="2351" w:type="pct"/>
            <w:vAlign w:val="center"/>
          </w:tcPr>
          <w:p w14:paraId="3DA82901">
            <w:pPr>
              <w:jc w:val="left"/>
              <w:rPr>
                <w:rFonts w:ascii="仿宋_GB2312" w:hAnsi="宋体" w:eastAsia="仿宋_GB2312" w:cs="宋体"/>
                <w:sz w:val="24"/>
              </w:rPr>
            </w:pPr>
            <w:r>
              <w:rPr>
                <w:rFonts w:hint="eastAsia" w:ascii="仿宋_GB2312" w:hAnsi="宋体" w:eastAsia="仿宋_GB2312" w:cs="宋体"/>
                <w:sz w:val="24"/>
              </w:rPr>
              <w:t>对全文的规范性用语进行了统一，修订了标准正文中的术语，以确保前后一致性。详见标准正文第3章内容及编制说明p11-p13页内容。</w:t>
            </w:r>
          </w:p>
        </w:tc>
        <w:tc>
          <w:tcPr>
            <w:tcW w:w="659" w:type="pct"/>
            <w:vAlign w:val="center"/>
          </w:tcPr>
          <w:p w14:paraId="7739EFC4">
            <w:pPr>
              <w:jc w:val="left"/>
              <w:rPr>
                <w:rFonts w:ascii="仿宋_GB2312" w:eastAsia="仿宋_GB2312" w:cs="宋体" w:hAnsiTheme="minorEastAsia"/>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04B01B55">
            <w:pPr>
              <w:jc w:val="center"/>
              <w:rPr>
                <w:rFonts w:ascii="仿宋_GB2312" w:eastAsia="仿宋_GB2312"/>
                <w:sz w:val="24"/>
              </w:rPr>
            </w:pPr>
            <w:r>
              <w:rPr>
                <w:rFonts w:hint="eastAsia" w:ascii="仿宋_GB2312" w:eastAsia="仿宋_GB2312" w:cs="仿宋_GB2312" w:hAnsiTheme="minorEastAsia"/>
                <w:bCs/>
                <w:sz w:val="24"/>
              </w:rPr>
              <w:t>全部采纳</w:t>
            </w:r>
          </w:p>
        </w:tc>
      </w:tr>
      <w:tr w14:paraId="0DF9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10466214">
            <w:pPr>
              <w:jc w:val="center"/>
              <w:rPr>
                <w:rFonts w:ascii="仿宋_GB2312" w:eastAsia="仿宋_GB2312" w:cs="Times New Roman" w:hAnsiTheme="minorEastAsia"/>
                <w:sz w:val="24"/>
              </w:rPr>
            </w:pPr>
            <w:r>
              <w:rPr>
                <w:rFonts w:hint="eastAsia" w:ascii="仿宋_GB2312" w:eastAsia="仿宋_GB2312" w:cs="Times New Roman" w:hAnsiTheme="minorEastAsia"/>
                <w:sz w:val="24"/>
              </w:rPr>
              <w:t>10</w:t>
            </w:r>
          </w:p>
        </w:tc>
        <w:tc>
          <w:tcPr>
            <w:tcW w:w="1366" w:type="pct"/>
            <w:vAlign w:val="center"/>
          </w:tcPr>
          <w:p w14:paraId="772D6338">
            <w:pPr>
              <w:jc w:val="left"/>
              <w:rPr>
                <w:rFonts w:ascii="仿宋_GB2312" w:hAnsi="宋体" w:eastAsia="仿宋_GB2312" w:cs="宋体"/>
                <w:sz w:val="24"/>
              </w:rPr>
            </w:pPr>
            <w:r>
              <w:rPr>
                <w:rFonts w:hint="eastAsia" w:ascii="仿宋_GB2312" w:hAnsi="宋体" w:eastAsia="仿宋_GB2312" w:cs="宋体"/>
                <w:sz w:val="24"/>
              </w:rPr>
              <w:t>建议重新核实检测项目</w:t>
            </w:r>
          </w:p>
        </w:tc>
        <w:tc>
          <w:tcPr>
            <w:tcW w:w="2351" w:type="pct"/>
            <w:vAlign w:val="center"/>
          </w:tcPr>
          <w:p w14:paraId="23443FE6">
            <w:pPr>
              <w:jc w:val="left"/>
              <w:rPr>
                <w:rFonts w:ascii="仿宋_GB2312" w:hAnsi="宋体" w:eastAsia="仿宋_GB2312" w:cs="宋体"/>
                <w:sz w:val="24"/>
              </w:rPr>
            </w:pPr>
            <w:r>
              <w:rPr>
                <w:rFonts w:hint="eastAsia" w:ascii="仿宋_GB2312" w:hAnsi="宋体" w:eastAsia="仿宋_GB2312" w:cs="宋体"/>
                <w:sz w:val="24"/>
              </w:rPr>
              <w:t>本规范对所确立的调查指标及其采样分析方法进行了重新整理，并对过去35年间全国范围内的天然放射性调查工作进行了综合研究。在此基础上，明确了调查的基本原则，并确定了调查所涉及的核素。详见标准正文5.2及编制说明p18-p24页内容。</w:t>
            </w:r>
          </w:p>
        </w:tc>
        <w:tc>
          <w:tcPr>
            <w:tcW w:w="659" w:type="pct"/>
            <w:vAlign w:val="center"/>
          </w:tcPr>
          <w:p w14:paraId="0C542B68">
            <w:pPr>
              <w:jc w:val="left"/>
              <w:rPr>
                <w:rFonts w:ascii="仿宋_GB2312" w:eastAsia="仿宋_GB2312"/>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1411E7E3">
            <w:pPr>
              <w:jc w:val="center"/>
              <w:rPr>
                <w:rFonts w:ascii="仿宋_GB2312" w:eastAsia="仿宋_GB2312"/>
                <w:sz w:val="24"/>
              </w:rPr>
            </w:pPr>
            <w:r>
              <w:rPr>
                <w:rFonts w:hint="eastAsia" w:ascii="仿宋_GB2312" w:eastAsia="仿宋_GB2312" w:cs="仿宋_GB2312" w:hAnsiTheme="minorEastAsia"/>
                <w:bCs/>
                <w:sz w:val="24"/>
              </w:rPr>
              <w:t>全部采纳</w:t>
            </w:r>
          </w:p>
        </w:tc>
      </w:tr>
      <w:tr w14:paraId="41C9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3C3A913E">
            <w:pPr>
              <w:jc w:val="center"/>
              <w:rPr>
                <w:rFonts w:ascii="仿宋_GB2312" w:eastAsia="仿宋_GB2312" w:cs="Times New Roman" w:hAnsiTheme="minorEastAsia"/>
                <w:sz w:val="24"/>
              </w:rPr>
            </w:pPr>
            <w:r>
              <w:rPr>
                <w:rFonts w:hint="eastAsia" w:ascii="仿宋_GB2312" w:eastAsia="仿宋_GB2312" w:cs="Times New Roman" w:hAnsiTheme="minorEastAsia"/>
                <w:sz w:val="24"/>
              </w:rPr>
              <w:t>11</w:t>
            </w:r>
          </w:p>
        </w:tc>
        <w:tc>
          <w:tcPr>
            <w:tcW w:w="1366" w:type="pct"/>
            <w:vAlign w:val="center"/>
          </w:tcPr>
          <w:p w14:paraId="2DE2C3E0">
            <w:pPr>
              <w:jc w:val="left"/>
              <w:rPr>
                <w:rFonts w:ascii="仿宋_GB2312" w:hAnsi="宋体" w:eastAsia="仿宋_GB2312" w:cs="宋体"/>
                <w:sz w:val="24"/>
              </w:rPr>
            </w:pPr>
            <w:r>
              <w:rPr>
                <w:rFonts w:hint="eastAsia" w:ascii="仿宋_GB2312" w:hAnsi="宋体" w:eastAsia="仿宋_GB2312" w:cs="宋体"/>
                <w:sz w:val="24"/>
              </w:rPr>
              <w:t>布点网格大小作为规范的关键内容，修改说明内应详细说明解释，增加可操作性。</w:t>
            </w:r>
          </w:p>
        </w:tc>
        <w:tc>
          <w:tcPr>
            <w:tcW w:w="2351" w:type="pct"/>
            <w:vAlign w:val="center"/>
          </w:tcPr>
          <w:p w14:paraId="6F8145BC">
            <w:pPr>
              <w:jc w:val="left"/>
              <w:rPr>
                <w:rFonts w:ascii="仿宋_GB2312" w:hAnsi="宋体" w:eastAsia="仿宋_GB2312" w:cs="宋体"/>
                <w:sz w:val="24"/>
              </w:rPr>
            </w:pPr>
            <w:r>
              <w:rPr>
                <w:rFonts w:hint="eastAsia" w:ascii="仿宋_GB2312" w:hAnsi="宋体" w:eastAsia="仿宋_GB2312" w:cs="宋体"/>
                <w:sz w:val="24"/>
              </w:rPr>
              <w:t>通过综合分析全国过往工作资料，对比不同工作方法的优缺点，本研究最终决定采用网格法进行均匀布点，以面积为基准确定技术路线。根据工作范围的规模，选择适宜的调查网格。详见标准正文5.1.1及编制说明p15-p18页内容。</w:t>
            </w:r>
          </w:p>
        </w:tc>
        <w:tc>
          <w:tcPr>
            <w:tcW w:w="659" w:type="pct"/>
            <w:vAlign w:val="center"/>
          </w:tcPr>
          <w:p w14:paraId="4D5D2393">
            <w:pPr>
              <w:jc w:val="left"/>
              <w:rPr>
                <w:rFonts w:ascii="仿宋_GB2312" w:eastAsia="仿宋_GB2312"/>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092A95FF">
            <w:pPr>
              <w:jc w:val="center"/>
              <w:rPr>
                <w:rFonts w:ascii="仿宋_GB2312" w:eastAsia="仿宋_GB2312"/>
                <w:sz w:val="24"/>
              </w:rPr>
            </w:pPr>
            <w:r>
              <w:rPr>
                <w:rFonts w:hint="eastAsia" w:ascii="仿宋_GB2312" w:eastAsia="仿宋_GB2312" w:cs="仿宋_GB2312" w:hAnsiTheme="minorEastAsia"/>
                <w:bCs/>
                <w:sz w:val="24"/>
              </w:rPr>
              <w:t>全部采纳</w:t>
            </w:r>
          </w:p>
        </w:tc>
      </w:tr>
      <w:tr w14:paraId="0093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5AAD72D5">
            <w:pPr>
              <w:jc w:val="center"/>
              <w:rPr>
                <w:rFonts w:ascii="仿宋_GB2312" w:eastAsia="仿宋_GB2312" w:cs="Times New Roman" w:hAnsiTheme="minorEastAsia"/>
                <w:sz w:val="24"/>
              </w:rPr>
            </w:pPr>
            <w:r>
              <w:rPr>
                <w:rFonts w:hint="eastAsia" w:ascii="仿宋_GB2312" w:eastAsia="仿宋_GB2312" w:cs="Times New Roman" w:hAnsiTheme="minorEastAsia"/>
                <w:sz w:val="24"/>
              </w:rPr>
              <w:t>12</w:t>
            </w:r>
          </w:p>
        </w:tc>
        <w:tc>
          <w:tcPr>
            <w:tcW w:w="1366" w:type="pct"/>
            <w:vAlign w:val="center"/>
          </w:tcPr>
          <w:p w14:paraId="4B1B3EBA">
            <w:pPr>
              <w:jc w:val="left"/>
              <w:rPr>
                <w:rFonts w:ascii="仿宋_GB2312" w:hAnsi="宋体" w:eastAsia="仿宋_GB2312" w:cs="宋体"/>
                <w:sz w:val="24"/>
              </w:rPr>
            </w:pPr>
            <w:r>
              <w:rPr>
                <w:rFonts w:hint="eastAsia" w:ascii="仿宋_GB2312" w:hAnsi="宋体" w:eastAsia="仿宋_GB2312" w:cs="宋体"/>
                <w:sz w:val="24"/>
              </w:rPr>
              <w:t>部分条款参考的标准太多，导致可操作性差，建议根据本规范特点优化。</w:t>
            </w:r>
          </w:p>
        </w:tc>
        <w:tc>
          <w:tcPr>
            <w:tcW w:w="2351" w:type="pct"/>
            <w:vAlign w:val="center"/>
          </w:tcPr>
          <w:p w14:paraId="6F424E3E">
            <w:pPr>
              <w:jc w:val="left"/>
              <w:rPr>
                <w:rFonts w:ascii="仿宋_GB2312" w:hAnsi="宋体" w:eastAsia="仿宋_GB2312" w:cs="宋体"/>
                <w:sz w:val="24"/>
              </w:rPr>
            </w:pPr>
            <w:r>
              <w:rPr>
                <w:rFonts w:hint="eastAsia" w:ascii="仿宋_GB2312" w:hAnsi="宋体" w:eastAsia="仿宋_GB2312" w:cs="宋体"/>
                <w:sz w:val="24"/>
              </w:rPr>
              <w:t>针对正文第六章所涉及的检测指标，本研究对其参考标准进行了精细化的优化处理，确保每一检测项目不再对应多重执行标准。详见标准正文第6章内容。</w:t>
            </w:r>
          </w:p>
        </w:tc>
        <w:tc>
          <w:tcPr>
            <w:tcW w:w="659" w:type="pct"/>
            <w:vAlign w:val="center"/>
          </w:tcPr>
          <w:p w14:paraId="5DC09735">
            <w:pPr>
              <w:jc w:val="left"/>
              <w:rPr>
                <w:rFonts w:ascii="仿宋_GB2312" w:eastAsia="仿宋_GB2312"/>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4075C1AB">
            <w:pPr>
              <w:jc w:val="center"/>
              <w:rPr>
                <w:rFonts w:ascii="仿宋_GB2312" w:eastAsia="仿宋_GB2312"/>
                <w:sz w:val="24"/>
              </w:rPr>
            </w:pPr>
            <w:r>
              <w:rPr>
                <w:rFonts w:hint="eastAsia" w:ascii="仿宋_GB2312" w:eastAsia="仿宋_GB2312" w:cs="仿宋_GB2312" w:hAnsiTheme="minorEastAsia"/>
                <w:bCs/>
                <w:sz w:val="24"/>
              </w:rPr>
              <w:t>全部采纳</w:t>
            </w:r>
          </w:p>
        </w:tc>
      </w:tr>
      <w:tr w14:paraId="34F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36F3E57C">
            <w:pPr>
              <w:jc w:val="center"/>
              <w:rPr>
                <w:rFonts w:ascii="仿宋_GB2312" w:eastAsia="仿宋_GB2312" w:cs="Times New Roman" w:hAnsiTheme="minorEastAsia"/>
                <w:sz w:val="24"/>
              </w:rPr>
            </w:pPr>
            <w:r>
              <w:rPr>
                <w:rFonts w:hint="eastAsia" w:ascii="仿宋_GB2312" w:eastAsia="仿宋_GB2312" w:cs="Times New Roman" w:hAnsiTheme="minorEastAsia"/>
                <w:sz w:val="24"/>
              </w:rPr>
              <w:t>13</w:t>
            </w:r>
          </w:p>
        </w:tc>
        <w:tc>
          <w:tcPr>
            <w:tcW w:w="1366" w:type="pct"/>
            <w:vAlign w:val="center"/>
          </w:tcPr>
          <w:p w14:paraId="45B784B0">
            <w:pPr>
              <w:jc w:val="left"/>
              <w:rPr>
                <w:rFonts w:ascii="仿宋_GB2312" w:hAnsi="宋体" w:eastAsia="仿宋_GB2312" w:cs="宋体"/>
                <w:sz w:val="24"/>
              </w:rPr>
            </w:pPr>
            <w:r>
              <w:rPr>
                <w:rFonts w:hint="eastAsia" w:ascii="仿宋_GB2312" w:hAnsi="宋体" w:eastAsia="仿宋_GB2312" w:cs="宋体"/>
                <w:sz w:val="24"/>
              </w:rPr>
              <w:t>建议删除要求调查单位具备CMA资质，需合适规范中规定的所有检测项目是否均可申请CMA资质</w:t>
            </w:r>
          </w:p>
        </w:tc>
        <w:tc>
          <w:tcPr>
            <w:tcW w:w="2351" w:type="pct"/>
            <w:vAlign w:val="center"/>
          </w:tcPr>
          <w:p w14:paraId="2C6A338C">
            <w:pPr>
              <w:jc w:val="left"/>
              <w:rPr>
                <w:rFonts w:ascii="仿宋_GB2312" w:hAnsi="宋体" w:eastAsia="仿宋_GB2312" w:cs="宋体"/>
                <w:sz w:val="24"/>
              </w:rPr>
            </w:pPr>
            <w:r>
              <w:rPr>
                <w:rFonts w:hint="eastAsia" w:ascii="仿宋_GB2312" w:hAnsi="宋体" w:eastAsia="仿宋_GB2312" w:cs="宋体"/>
                <w:sz w:val="24"/>
              </w:rPr>
              <w:t>结合多方资料查阅情况，删除了对调查单位资质要求。详见正文第9章内容。</w:t>
            </w:r>
          </w:p>
        </w:tc>
        <w:tc>
          <w:tcPr>
            <w:tcW w:w="659" w:type="pct"/>
            <w:vAlign w:val="center"/>
          </w:tcPr>
          <w:p w14:paraId="01485303">
            <w:pPr>
              <w:jc w:val="left"/>
              <w:rPr>
                <w:rFonts w:ascii="仿宋_GB2312" w:eastAsia="仿宋_GB2312"/>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4EA542B3">
            <w:pPr>
              <w:jc w:val="center"/>
              <w:rPr>
                <w:rFonts w:ascii="仿宋_GB2312" w:eastAsia="仿宋_GB2312"/>
                <w:sz w:val="24"/>
              </w:rPr>
            </w:pPr>
            <w:r>
              <w:rPr>
                <w:rFonts w:hint="eastAsia" w:ascii="仿宋_GB2312" w:eastAsia="仿宋_GB2312" w:cs="仿宋_GB2312" w:hAnsiTheme="minorEastAsia"/>
                <w:bCs/>
                <w:sz w:val="24"/>
              </w:rPr>
              <w:t>全部采纳</w:t>
            </w:r>
          </w:p>
        </w:tc>
      </w:tr>
      <w:tr w14:paraId="132C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315" w:type="pct"/>
            <w:vAlign w:val="center"/>
          </w:tcPr>
          <w:p w14:paraId="5E2F920A">
            <w:pPr>
              <w:jc w:val="center"/>
              <w:rPr>
                <w:rFonts w:ascii="仿宋_GB2312" w:eastAsia="仿宋_GB2312" w:cs="Times New Roman" w:hAnsiTheme="minorEastAsia"/>
                <w:sz w:val="24"/>
              </w:rPr>
            </w:pPr>
            <w:r>
              <w:rPr>
                <w:rFonts w:hint="eastAsia" w:ascii="仿宋_GB2312" w:eastAsia="仿宋_GB2312" w:cs="Times New Roman" w:hAnsiTheme="minorEastAsia"/>
                <w:sz w:val="24"/>
              </w:rPr>
              <w:t>14</w:t>
            </w:r>
          </w:p>
        </w:tc>
        <w:tc>
          <w:tcPr>
            <w:tcW w:w="1366" w:type="pct"/>
            <w:vAlign w:val="center"/>
          </w:tcPr>
          <w:p w14:paraId="6202663E">
            <w:pPr>
              <w:jc w:val="left"/>
              <w:rPr>
                <w:rFonts w:ascii="仿宋_GB2312" w:hAnsi="宋体" w:eastAsia="仿宋_GB2312" w:cs="宋体"/>
                <w:sz w:val="24"/>
              </w:rPr>
            </w:pPr>
            <w:r>
              <w:rPr>
                <w:rFonts w:hint="eastAsia" w:ascii="仿宋_GB2312" w:hAnsi="宋体" w:eastAsia="仿宋_GB2312" w:cs="宋体"/>
                <w:sz w:val="24"/>
              </w:rPr>
              <w:t>核实野外验收是否为环境调查的必要环节，文中多次出现的审批等管理环节，核实是否为必要环节。</w:t>
            </w:r>
          </w:p>
        </w:tc>
        <w:tc>
          <w:tcPr>
            <w:tcW w:w="2351" w:type="pct"/>
            <w:vAlign w:val="center"/>
          </w:tcPr>
          <w:p w14:paraId="111945D9">
            <w:pPr>
              <w:jc w:val="left"/>
              <w:rPr>
                <w:rFonts w:ascii="仿宋_GB2312" w:hAnsi="宋体" w:eastAsia="仿宋_GB2312" w:cs="宋体"/>
                <w:sz w:val="24"/>
              </w:rPr>
            </w:pPr>
            <w:r>
              <w:rPr>
                <w:rFonts w:hint="eastAsia" w:ascii="仿宋_GB2312" w:hAnsi="宋体" w:eastAsia="仿宋_GB2312" w:cs="宋体"/>
                <w:sz w:val="24"/>
              </w:rPr>
              <w:t>借鉴全国各地区的工作实践，最终决定移除野外验收环节及管理审批等程序性内容的限制，以保障标准的可操作性。详见正文第9章内容。</w:t>
            </w:r>
          </w:p>
        </w:tc>
        <w:tc>
          <w:tcPr>
            <w:tcW w:w="659" w:type="pct"/>
            <w:vAlign w:val="center"/>
          </w:tcPr>
          <w:p w14:paraId="119949D6">
            <w:pPr>
              <w:jc w:val="left"/>
              <w:rPr>
                <w:rFonts w:ascii="仿宋_GB2312" w:eastAsia="仿宋_GB2312"/>
                <w:sz w:val="24"/>
              </w:rPr>
            </w:pPr>
            <w:r>
              <w:rPr>
                <w:rFonts w:hint="eastAsia" w:ascii="仿宋_GB2312" w:eastAsia="仿宋_GB2312" w:cs="宋体" w:hAnsiTheme="minorEastAsia"/>
                <w:sz w:val="24"/>
              </w:rPr>
              <w:t>广西壮族自治区辐射环境监督管理站高级工程师许明发</w:t>
            </w:r>
          </w:p>
        </w:tc>
        <w:tc>
          <w:tcPr>
            <w:tcW w:w="309" w:type="pct"/>
            <w:vAlign w:val="center"/>
          </w:tcPr>
          <w:p w14:paraId="40B24C77">
            <w:pPr>
              <w:jc w:val="center"/>
              <w:rPr>
                <w:rFonts w:ascii="仿宋_GB2312" w:eastAsia="仿宋_GB2312"/>
                <w:sz w:val="24"/>
              </w:rPr>
            </w:pPr>
            <w:r>
              <w:rPr>
                <w:rFonts w:hint="eastAsia" w:ascii="仿宋_GB2312" w:eastAsia="仿宋_GB2312" w:cs="仿宋_GB2312" w:hAnsiTheme="minorEastAsia"/>
                <w:bCs/>
                <w:sz w:val="24"/>
              </w:rPr>
              <w:t>全部采纳</w:t>
            </w:r>
          </w:p>
        </w:tc>
      </w:tr>
      <w:tr w14:paraId="0D4D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26A49390">
            <w:pPr>
              <w:jc w:val="center"/>
              <w:rPr>
                <w:rFonts w:ascii="仿宋_GB2312" w:eastAsia="仿宋_GB2312" w:cs="Times New Roman" w:hAnsiTheme="minorEastAsia"/>
                <w:sz w:val="24"/>
              </w:rPr>
            </w:pPr>
            <w:r>
              <w:rPr>
                <w:rFonts w:hint="eastAsia" w:ascii="仿宋_GB2312" w:eastAsia="仿宋_GB2312" w:cs="Times New Roman" w:hAnsiTheme="minorEastAsia"/>
                <w:sz w:val="24"/>
              </w:rPr>
              <w:t>15</w:t>
            </w:r>
          </w:p>
        </w:tc>
        <w:tc>
          <w:tcPr>
            <w:tcW w:w="1366" w:type="pct"/>
            <w:vAlign w:val="center"/>
          </w:tcPr>
          <w:p w14:paraId="12BDD4C8">
            <w:pPr>
              <w:jc w:val="left"/>
              <w:rPr>
                <w:rFonts w:ascii="仿宋_GB2312" w:hAnsi="宋体" w:eastAsia="仿宋_GB2312" w:cs="宋体"/>
                <w:sz w:val="24"/>
                <w:lang w:bidi="ar"/>
              </w:rPr>
            </w:pPr>
            <w:r>
              <w:rPr>
                <w:rFonts w:hint="eastAsia" w:ascii="仿宋_GB2312" w:hAnsi="宋体" w:eastAsia="仿宋_GB2312" w:cs="宋体"/>
                <w:sz w:val="24"/>
                <w:lang w:bidi="ar"/>
              </w:rPr>
              <w:t>界定“局部场地”的标准，以确保在实际操作过程中能够更精确地判定简化调查内容、范围及频次的适用时机，从而避免执行过程中的不确定性。</w:t>
            </w:r>
          </w:p>
        </w:tc>
        <w:tc>
          <w:tcPr>
            <w:tcW w:w="2351" w:type="pct"/>
            <w:vAlign w:val="center"/>
          </w:tcPr>
          <w:p w14:paraId="1798AB7D">
            <w:pPr>
              <w:jc w:val="left"/>
              <w:rPr>
                <w:rFonts w:ascii="仿宋_GB2312" w:hAnsi="宋体" w:eastAsia="仿宋_GB2312" w:cs="宋体"/>
                <w:sz w:val="24"/>
              </w:rPr>
            </w:pPr>
            <w:r>
              <w:rPr>
                <w:rFonts w:hint="eastAsia" w:ascii="仿宋_GB2312" w:hAnsi="宋体" w:eastAsia="仿宋_GB2312" w:cs="宋体"/>
                <w:sz w:val="24"/>
              </w:rPr>
              <w:t>鉴于本规范的应用背景，不再限定特定区域或局部场地的使用范围。将调查原则进一步细化，以覆盖不同尺度的调查活动。详见标准正文第5章调查内容。</w:t>
            </w:r>
          </w:p>
        </w:tc>
        <w:tc>
          <w:tcPr>
            <w:tcW w:w="659" w:type="pct"/>
            <w:vAlign w:val="center"/>
          </w:tcPr>
          <w:p w14:paraId="56F7A20A">
            <w:pPr>
              <w:jc w:val="left"/>
              <w:rPr>
                <w:rFonts w:ascii="仿宋_GB2312" w:eastAsia="仿宋_GB2312" w:cs="宋体" w:hAnsiTheme="minorEastAsia"/>
                <w:sz w:val="24"/>
              </w:rPr>
            </w:pPr>
            <w:r>
              <w:rPr>
                <w:rFonts w:hint="eastAsia" w:ascii="仿宋_GB2312" w:eastAsia="仿宋_GB2312" w:cs="宋体" w:hAnsiTheme="minorEastAsia"/>
                <w:sz w:val="24"/>
              </w:rPr>
              <w:t>新疆维吾尔自治区辐射环境监督站高级工程师董涛</w:t>
            </w:r>
          </w:p>
        </w:tc>
        <w:tc>
          <w:tcPr>
            <w:tcW w:w="309" w:type="pct"/>
            <w:vAlign w:val="center"/>
          </w:tcPr>
          <w:p w14:paraId="75104C58">
            <w:pPr>
              <w:jc w:val="left"/>
              <w:rPr>
                <w:rFonts w:ascii="仿宋_GB2312" w:eastAsia="仿宋_GB2312"/>
                <w:sz w:val="24"/>
              </w:rPr>
            </w:pPr>
            <w:r>
              <w:rPr>
                <w:rFonts w:hint="eastAsia" w:ascii="仿宋_GB2312" w:eastAsia="仿宋_GB2312" w:cs="仿宋_GB2312" w:hAnsiTheme="minorEastAsia"/>
                <w:bCs/>
                <w:sz w:val="24"/>
              </w:rPr>
              <w:t>全部采纳</w:t>
            </w:r>
          </w:p>
        </w:tc>
      </w:tr>
      <w:tr w14:paraId="0160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5" w:type="pct"/>
            <w:vAlign w:val="center"/>
          </w:tcPr>
          <w:p w14:paraId="7D259FB9">
            <w:pPr>
              <w:jc w:val="center"/>
              <w:rPr>
                <w:rFonts w:ascii="仿宋_GB2312" w:eastAsia="仿宋_GB2312" w:cs="Times New Roman" w:hAnsiTheme="minorEastAsia"/>
                <w:sz w:val="24"/>
              </w:rPr>
            </w:pPr>
            <w:r>
              <w:rPr>
                <w:rFonts w:hint="eastAsia" w:ascii="仿宋_GB2312" w:eastAsia="仿宋_GB2312" w:cs="Times New Roman" w:hAnsiTheme="minorEastAsia"/>
                <w:sz w:val="24"/>
              </w:rPr>
              <w:t>16</w:t>
            </w:r>
          </w:p>
        </w:tc>
        <w:tc>
          <w:tcPr>
            <w:tcW w:w="1366" w:type="pct"/>
            <w:vAlign w:val="center"/>
          </w:tcPr>
          <w:p w14:paraId="276D8806">
            <w:pPr>
              <w:jc w:val="left"/>
              <w:rPr>
                <w:rFonts w:ascii="仿宋_GB2312" w:hAnsi="宋体" w:eastAsia="仿宋_GB2312" w:cs="宋体"/>
                <w:sz w:val="24"/>
                <w:lang w:bidi="ar"/>
              </w:rPr>
            </w:pPr>
            <w:r>
              <w:rPr>
                <w:rFonts w:hint="eastAsia" w:ascii="仿宋_GB2312" w:hAnsi="宋体" w:eastAsia="仿宋_GB2312" w:cs="宋体"/>
                <w:sz w:val="24"/>
                <w:lang w:bidi="ar"/>
              </w:rPr>
              <w:t>建议在非放射性调查项目中增加对调查点周边环境噪声、电磁辐射等非放射性环境因素的调查内容，以全面掌握调查区域的环境状况，并为综合环境评价提供更为丰富的数据支撑。</w:t>
            </w:r>
          </w:p>
        </w:tc>
        <w:tc>
          <w:tcPr>
            <w:tcW w:w="2351" w:type="pct"/>
            <w:vAlign w:val="center"/>
          </w:tcPr>
          <w:p w14:paraId="300825EC">
            <w:pPr>
              <w:jc w:val="left"/>
              <w:rPr>
                <w:rFonts w:ascii="仿宋_GB2312" w:hAnsi="宋体" w:eastAsia="仿宋_GB2312" w:cs="宋体"/>
                <w:sz w:val="24"/>
              </w:rPr>
            </w:pPr>
            <w:r>
              <w:rPr>
                <w:rFonts w:hint="eastAsia" w:ascii="仿宋_GB2312" w:hAnsi="宋体" w:eastAsia="仿宋_GB2312" w:cs="宋体"/>
                <w:sz w:val="24"/>
              </w:rPr>
              <w:t>对第五章调查内容进行了重新梳理，取消了非放射性与放射性调查项目的划分，对调查内容进行了重新的确认与论证。详见标准正文第5章调查内容。</w:t>
            </w:r>
          </w:p>
        </w:tc>
        <w:tc>
          <w:tcPr>
            <w:tcW w:w="659" w:type="pct"/>
            <w:vAlign w:val="center"/>
          </w:tcPr>
          <w:p w14:paraId="43A39D1C">
            <w:pPr>
              <w:jc w:val="left"/>
              <w:rPr>
                <w:rFonts w:ascii="仿宋_GB2312" w:eastAsia="仿宋_GB2312"/>
                <w:sz w:val="24"/>
              </w:rPr>
            </w:pPr>
            <w:r>
              <w:rPr>
                <w:rFonts w:hint="eastAsia" w:ascii="仿宋_GB2312" w:eastAsia="仿宋_GB2312" w:cs="宋体" w:hAnsiTheme="minorEastAsia"/>
                <w:sz w:val="24"/>
              </w:rPr>
              <w:t>新疆维吾尔自治区辐射环境监督站高级工程师董涛</w:t>
            </w:r>
          </w:p>
        </w:tc>
        <w:tc>
          <w:tcPr>
            <w:tcW w:w="309" w:type="pct"/>
            <w:vAlign w:val="center"/>
          </w:tcPr>
          <w:p w14:paraId="76CF14DC">
            <w:pPr>
              <w:jc w:val="left"/>
              <w:rPr>
                <w:rFonts w:ascii="仿宋_GB2312" w:eastAsia="仿宋_GB2312"/>
                <w:sz w:val="24"/>
              </w:rPr>
            </w:pPr>
            <w:r>
              <w:rPr>
                <w:rFonts w:hint="eastAsia" w:ascii="仿宋_GB2312" w:eastAsia="仿宋_GB2312" w:cs="仿宋_GB2312" w:hAnsiTheme="minorEastAsia"/>
                <w:bCs/>
                <w:sz w:val="24"/>
              </w:rPr>
              <w:t>全部采纳</w:t>
            </w:r>
          </w:p>
        </w:tc>
      </w:tr>
      <w:tr w14:paraId="5F65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609F6F72">
            <w:pPr>
              <w:jc w:val="center"/>
              <w:rPr>
                <w:rFonts w:ascii="仿宋_GB2312" w:eastAsia="仿宋_GB2312" w:cs="Times New Roman" w:hAnsiTheme="minorEastAsia"/>
                <w:sz w:val="24"/>
              </w:rPr>
            </w:pPr>
            <w:r>
              <w:rPr>
                <w:rFonts w:hint="eastAsia" w:ascii="仿宋_GB2312" w:eastAsia="仿宋_GB2312" w:cs="Times New Roman" w:hAnsiTheme="minorEastAsia"/>
                <w:sz w:val="24"/>
              </w:rPr>
              <w:t>17</w:t>
            </w:r>
          </w:p>
        </w:tc>
        <w:tc>
          <w:tcPr>
            <w:tcW w:w="1366" w:type="pct"/>
            <w:vAlign w:val="center"/>
          </w:tcPr>
          <w:p w14:paraId="5F835C41">
            <w:pPr>
              <w:jc w:val="left"/>
              <w:rPr>
                <w:rFonts w:ascii="仿宋_GB2312" w:hAnsi="宋体" w:eastAsia="仿宋_GB2312" w:cs="宋体"/>
                <w:sz w:val="24"/>
                <w:lang w:bidi="ar"/>
              </w:rPr>
            </w:pPr>
            <w:r>
              <w:rPr>
                <w:rFonts w:hint="eastAsia" w:ascii="仿宋_GB2312" w:hAnsi="宋体" w:eastAsia="仿宋_GB2312" w:cs="宋体"/>
                <w:sz w:val="24"/>
                <w:lang w:bidi="ar"/>
              </w:rPr>
              <w:t>布点原则的精细化阐述：针对布点原则的详细描述，建议进一步深化针对不同种类调查目标（例如线状、面状、点状目标）的布点策略及其密度要求，并提供详尽的布点示意图或实例，以便于在实际操作过程中对原则的理解与应用。</w:t>
            </w:r>
          </w:p>
        </w:tc>
        <w:tc>
          <w:tcPr>
            <w:tcW w:w="2351" w:type="pct"/>
            <w:vAlign w:val="center"/>
          </w:tcPr>
          <w:p w14:paraId="4D7707DF">
            <w:pPr>
              <w:jc w:val="left"/>
              <w:rPr>
                <w:rFonts w:ascii="仿宋_GB2312" w:hAnsi="宋体" w:eastAsia="仿宋_GB2312" w:cs="宋体"/>
                <w:sz w:val="24"/>
              </w:rPr>
            </w:pPr>
            <w:r>
              <w:rPr>
                <w:rFonts w:hint="eastAsia" w:ascii="仿宋_GB2312" w:hAnsi="宋体" w:eastAsia="仿宋_GB2312" w:cs="宋体"/>
                <w:sz w:val="24"/>
              </w:rPr>
              <w:t>在汲取前辈们的工作经验基础上，本文详尽地阐述了布点原则，并对调查点与取样点的布设方法进行了精细化处理。同时，根据实际工作需求及重点区域，提出了相应的加密策略。详见标准正文5.1.1及编制说明p15-p18页内容。</w:t>
            </w:r>
          </w:p>
        </w:tc>
        <w:tc>
          <w:tcPr>
            <w:tcW w:w="659" w:type="pct"/>
            <w:vAlign w:val="center"/>
          </w:tcPr>
          <w:p w14:paraId="6A75E32E">
            <w:pPr>
              <w:rPr>
                <w:rFonts w:ascii="仿宋_GB2312" w:eastAsia="仿宋_GB2312"/>
                <w:sz w:val="24"/>
              </w:rPr>
            </w:pPr>
            <w:r>
              <w:rPr>
                <w:rFonts w:hint="eastAsia" w:ascii="仿宋_GB2312" w:eastAsia="仿宋_GB2312" w:cs="宋体" w:hAnsiTheme="minorEastAsia"/>
                <w:sz w:val="24"/>
              </w:rPr>
              <w:t>新疆维吾尔自治区辐射环境监督站高级工程师董涛</w:t>
            </w:r>
          </w:p>
        </w:tc>
        <w:tc>
          <w:tcPr>
            <w:tcW w:w="309" w:type="pct"/>
            <w:vAlign w:val="center"/>
          </w:tcPr>
          <w:p w14:paraId="47994E80">
            <w:pPr>
              <w:jc w:val="left"/>
              <w:rPr>
                <w:rFonts w:ascii="仿宋_GB2312" w:eastAsia="仿宋_GB2312"/>
                <w:sz w:val="24"/>
              </w:rPr>
            </w:pPr>
            <w:r>
              <w:rPr>
                <w:rFonts w:hint="eastAsia" w:ascii="仿宋_GB2312" w:eastAsia="仿宋_GB2312" w:cs="仿宋_GB2312" w:hAnsiTheme="minorEastAsia"/>
                <w:bCs/>
                <w:sz w:val="24"/>
              </w:rPr>
              <w:t>全部采纳</w:t>
            </w:r>
          </w:p>
        </w:tc>
      </w:tr>
      <w:tr w14:paraId="7FE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50736F2C">
            <w:pPr>
              <w:jc w:val="center"/>
              <w:rPr>
                <w:rFonts w:ascii="仿宋_GB2312" w:eastAsia="仿宋_GB2312" w:cs="Times New Roman" w:hAnsiTheme="minorEastAsia"/>
                <w:sz w:val="24"/>
              </w:rPr>
            </w:pPr>
            <w:r>
              <w:rPr>
                <w:rFonts w:hint="eastAsia" w:ascii="仿宋_GB2312" w:eastAsia="仿宋_GB2312" w:cs="Times New Roman" w:hAnsiTheme="minorEastAsia"/>
                <w:sz w:val="24"/>
              </w:rPr>
              <w:t>18</w:t>
            </w:r>
          </w:p>
        </w:tc>
        <w:tc>
          <w:tcPr>
            <w:tcW w:w="1366" w:type="pct"/>
            <w:vAlign w:val="center"/>
          </w:tcPr>
          <w:p w14:paraId="777CC2DF">
            <w:pPr>
              <w:jc w:val="left"/>
              <w:rPr>
                <w:rFonts w:ascii="仿宋_GB2312" w:hAnsi="宋体" w:eastAsia="仿宋_GB2312" w:cs="宋体"/>
                <w:sz w:val="24"/>
                <w:lang w:bidi="ar"/>
              </w:rPr>
            </w:pPr>
            <w:r>
              <w:rPr>
                <w:rFonts w:hint="eastAsia" w:ascii="仿宋_GB2312" w:hAnsi="宋体" w:eastAsia="仿宋_GB2312" w:cs="宋体"/>
                <w:sz w:val="24"/>
                <w:lang w:bidi="ar"/>
              </w:rPr>
              <w:t>关于样本的采集与保存技术，建议详尽阐述样本的标识、记录及运输规范，以确保样本的代表性和完整性，防止因样本处理不当引发的测量偏差。</w:t>
            </w:r>
          </w:p>
        </w:tc>
        <w:tc>
          <w:tcPr>
            <w:tcW w:w="2351" w:type="pct"/>
            <w:vAlign w:val="center"/>
          </w:tcPr>
          <w:p w14:paraId="084CE7B1">
            <w:pPr>
              <w:jc w:val="left"/>
              <w:rPr>
                <w:rFonts w:ascii="仿宋_GB2312" w:hAnsi="宋体" w:eastAsia="仿宋_GB2312" w:cs="宋体"/>
                <w:sz w:val="24"/>
              </w:rPr>
            </w:pPr>
            <w:r>
              <w:rPr>
                <w:rFonts w:hint="eastAsia" w:ascii="仿宋_GB2312" w:hAnsi="宋体" w:eastAsia="仿宋_GB2312" w:cs="宋体"/>
                <w:sz w:val="24"/>
              </w:rPr>
              <w:t>本研究中，样品的采集、保存及分析方法均遵循相应的指标检测规范。鉴于已明确指出参照具体检测规范，本文不再赘述相关细节，以避免内容重复。详见编制说明p25-p32页内容。</w:t>
            </w:r>
          </w:p>
        </w:tc>
        <w:tc>
          <w:tcPr>
            <w:tcW w:w="659" w:type="pct"/>
            <w:vAlign w:val="center"/>
          </w:tcPr>
          <w:p w14:paraId="09611C63">
            <w:pPr>
              <w:rPr>
                <w:rFonts w:ascii="仿宋_GB2312" w:eastAsia="仿宋_GB2312"/>
                <w:sz w:val="24"/>
              </w:rPr>
            </w:pPr>
            <w:r>
              <w:rPr>
                <w:rFonts w:hint="eastAsia" w:ascii="仿宋_GB2312" w:eastAsia="仿宋_GB2312" w:cs="宋体" w:hAnsiTheme="minorEastAsia"/>
                <w:sz w:val="24"/>
              </w:rPr>
              <w:t>新疆维吾尔自治区辐射环境监督站高级工程师董涛</w:t>
            </w:r>
          </w:p>
        </w:tc>
        <w:tc>
          <w:tcPr>
            <w:tcW w:w="309" w:type="pct"/>
            <w:vAlign w:val="center"/>
          </w:tcPr>
          <w:p w14:paraId="6D8AC672">
            <w:pPr>
              <w:jc w:val="left"/>
              <w:rPr>
                <w:rFonts w:ascii="仿宋_GB2312" w:eastAsia="仿宋_GB2312"/>
                <w:sz w:val="24"/>
              </w:rPr>
            </w:pPr>
            <w:r>
              <w:rPr>
                <w:rFonts w:hint="eastAsia" w:ascii="仿宋_GB2312" w:eastAsia="仿宋_GB2312" w:cs="仿宋_GB2312" w:hAnsiTheme="minorEastAsia"/>
                <w:bCs/>
                <w:sz w:val="24"/>
              </w:rPr>
              <w:t>全部采纳</w:t>
            </w:r>
          </w:p>
        </w:tc>
      </w:tr>
      <w:tr w14:paraId="53BC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1C7054DB">
            <w:pPr>
              <w:jc w:val="center"/>
              <w:rPr>
                <w:rFonts w:ascii="仿宋_GB2312" w:eastAsia="仿宋_GB2312" w:cs="Times New Roman" w:hAnsiTheme="minorEastAsia"/>
                <w:sz w:val="24"/>
              </w:rPr>
            </w:pPr>
            <w:r>
              <w:rPr>
                <w:rFonts w:hint="eastAsia" w:ascii="仿宋_GB2312" w:eastAsia="仿宋_GB2312" w:cs="Times New Roman" w:hAnsiTheme="minorEastAsia"/>
                <w:sz w:val="24"/>
              </w:rPr>
              <w:t>19</w:t>
            </w:r>
          </w:p>
        </w:tc>
        <w:tc>
          <w:tcPr>
            <w:tcW w:w="1366" w:type="pct"/>
            <w:vAlign w:val="center"/>
          </w:tcPr>
          <w:p w14:paraId="1C740CC9">
            <w:pPr>
              <w:jc w:val="left"/>
              <w:rPr>
                <w:rFonts w:ascii="仿宋_GB2312" w:hAnsi="宋体" w:eastAsia="仿宋_GB2312" w:cs="宋体"/>
                <w:sz w:val="24"/>
                <w:lang w:bidi="ar"/>
              </w:rPr>
            </w:pPr>
            <w:r>
              <w:rPr>
                <w:rFonts w:hint="eastAsia" w:ascii="仿宋_GB2312" w:hAnsi="宋体" w:eastAsia="仿宋_GB2312" w:cs="宋体"/>
                <w:sz w:val="24"/>
                <w:lang w:bidi="ar"/>
              </w:rPr>
              <w:t>在附录 B 和附录 C 中，对调查方案及成果报告的各个章节进行了进一步的细化，明确了编写深度和重点要求。例如，在成果报告的结论部分，指出了必须包含的关键信息和数据支持，以提升报告质量的统一性。</w:t>
            </w:r>
          </w:p>
        </w:tc>
        <w:tc>
          <w:tcPr>
            <w:tcW w:w="2351" w:type="pct"/>
            <w:vAlign w:val="center"/>
          </w:tcPr>
          <w:p w14:paraId="2B1B297A">
            <w:pPr>
              <w:jc w:val="left"/>
              <w:rPr>
                <w:rFonts w:ascii="仿宋_GB2312" w:hAnsi="宋体" w:eastAsia="仿宋_GB2312" w:cs="宋体"/>
                <w:sz w:val="24"/>
              </w:rPr>
            </w:pPr>
            <w:r>
              <w:rPr>
                <w:rFonts w:hint="eastAsia" w:ascii="仿宋_GB2312" w:hAnsi="宋体" w:eastAsia="仿宋_GB2312" w:cs="宋体"/>
                <w:sz w:val="24"/>
              </w:rPr>
              <w:t>对附录部分进行了重新整理，移除了附录A，并对附录B、C进行了重新编排，使得方案及报告的结构更为清晰、连贯。详见标准正文附录A和附录B。</w:t>
            </w:r>
          </w:p>
        </w:tc>
        <w:tc>
          <w:tcPr>
            <w:tcW w:w="659" w:type="pct"/>
            <w:vAlign w:val="center"/>
          </w:tcPr>
          <w:p w14:paraId="4C12F879">
            <w:pPr>
              <w:rPr>
                <w:rFonts w:ascii="仿宋_GB2312" w:eastAsia="仿宋_GB2312"/>
                <w:sz w:val="24"/>
              </w:rPr>
            </w:pPr>
            <w:r>
              <w:rPr>
                <w:rFonts w:hint="eastAsia" w:ascii="仿宋_GB2312" w:eastAsia="仿宋_GB2312" w:cs="宋体" w:hAnsiTheme="minorEastAsia"/>
                <w:sz w:val="24"/>
              </w:rPr>
              <w:t>新疆维吾尔自治区辐射环境监督站高级工程师董涛</w:t>
            </w:r>
          </w:p>
        </w:tc>
        <w:tc>
          <w:tcPr>
            <w:tcW w:w="309" w:type="pct"/>
            <w:vAlign w:val="center"/>
          </w:tcPr>
          <w:p w14:paraId="0ED31AEB">
            <w:pPr>
              <w:jc w:val="left"/>
              <w:rPr>
                <w:rFonts w:ascii="仿宋_GB2312" w:eastAsia="仿宋_GB2312"/>
                <w:sz w:val="24"/>
              </w:rPr>
            </w:pPr>
            <w:r>
              <w:rPr>
                <w:rFonts w:hint="eastAsia" w:ascii="仿宋_GB2312" w:eastAsia="仿宋_GB2312" w:cs="仿宋_GB2312" w:hAnsiTheme="minorEastAsia"/>
                <w:bCs/>
                <w:sz w:val="24"/>
              </w:rPr>
              <w:t>全部采纳</w:t>
            </w:r>
          </w:p>
        </w:tc>
      </w:tr>
      <w:tr w14:paraId="247A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7C81FFA8">
            <w:pPr>
              <w:jc w:val="center"/>
              <w:rPr>
                <w:rFonts w:ascii="仿宋_GB2312" w:eastAsia="仿宋_GB2312" w:cs="Times New Roman" w:hAnsiTheme="minorEastAsia"/>
                <w:sz w:val="24"/>
              </w:rPr>
            </w:pPr>
            <w:r>
              <w:rPr>
                <w:rFonts w:hint="eastAsia" w:ascii="仿宋_GB2312" w:eastAsia="仿宋_GB2312" w:cs="Times New Roman" w:hAnsiTheme="minorEastAsia"/>
                <w:sz w:val="24"/>
              </w:rPr>
              <w:t>20</w:t>
            </w:r>
          </w:p>
        </w:tc>
        <w:tc>
          <w:tcPr>
            <w:tcW w:w="1366" w:type="pct"/>
            <w:vAlign w:val="center"/>
          </w:tcPr>
          <w:p w14:paraId="2239C1D9">
            <w:pPr>
              <w:rPr>
                <w:rFonts w:ascii="仿宋_GB2312" w:hAnsi="宋体" w:eastAsia="仿宋_GB2312" w:cs="宋体"/>
                <w:sz w:val="24"/>
              </w:rPr>
            </w:pPr>
            <w:r>
              <w:rPr>
                <w:rFonts w:hint="eastAsia" w:ascii="仿宋_GB2312" w:hAnsi="宋体" w:eastAsia="仿宋_GB2312" w:cs="宋体"/>
                <w:sz w:val="24"/>
              </w:rPr>
              <w:t>对标准正文格式及文字的准确性进行再次审核，避免出现错误</w:t>
            </w:r>
          </w:p>
        </w:tc>
        <w:tc>
          <w:tcPr>
            <w:tcW w:w="2351" w:type="pct"/>
            <w:vAlign w:val="center"/>
          </w:tcPr>
          <w:p w14:paraId="1CCE7860">
            <w:pPr>
              <w:rPr>
                <w:rFonts w:ascii="仿宋_GB2312" w:hAnsi="宋体" w:eastAsia="仿宋_GB2312" w:cs="宋体"/>
                <w:sz w:val="24"/>
              </w:rPr>
            </w:pPr>
            <w:r>
              <w:rPr>
                <w:rFonts w:hint="eastAsia" w:ascii="仿宋_GB2312" w:hAnsi="宋体" w:eastAsia="仿宋_GB2312" w:cs="宋体"/>
                <w:sz w:val="24"/>
              </w:rPr>
              <w:t>经过对文本逐句、逐条的严谨考证，本文重新梳理了标准正文的逻辑结构，对文本进行了校正，并对全文进行了系统的修订。详见标准正文及编制说明全文。</w:t>
            </w:r>
          </w:p>
        </w:tc>
        <w:tc>
          <w:tcPr>
            <w:tcW w:w="659" w:type="pct"/>
            <w:vAlign w:val="center"/>
          </w:tcPr>
          <w:p w14:paraId="37ECCCD9">
            <w:pPr>
              <w:rPr>
                <w:rFonts w:ascii="仿宋_GB2312" w:eastAsia="仿宋_GB2312" w:cs="宋体" w:hAnsiTheme="minorEastAsia"/>
                <w:sz w:val="24"/>
              </w:rPr>
            </w:pPr>
            <w:r>
              <w:rPr>
                <w:rFonts w:hint="eastAsia" w:ascii="仿宋_GB2312" w:eastAsia="仿宋_GB2312" w:cs="宋体" w:hAnsiTheme="minorEastAsia"/>
                <w:sz w:val="24"/>
              </w:rPr>
              <w:t>宁夏回族自治区核地质调查院高级工程师(退休)金龙</w:t>
            </w:r>
          </w:p>
        </w:tc>
        <w:tc>
          <w:tcPr>
            <w:tcW w:w="309" w:type="pct"/>
            <w:vAlign w:val="center"/>
          </w:tcPr>
          <w:p w14:paraId="127B6FBC">
            <w:pPr>
              <w:jc w:val="left"/>
              <w:rPr>
                <w:rFonts w:ascii="仿宋_GB2312" w:eastAsia="仿宋_GB2312"/>
                <w:sz w:val="24"/>
              </w:rPr>
            </w:pPr>
            <w:r>
              <w:rPr>
                <w:rFonts w:hint="eastAsia" w:ascii="仿宋_GB2312" w:eastAsia="仿宋_GB2312" w:cs="仿宋_GB2312" w:hAnsiTheme="minorEastAsia"/>
                <w:bCs/>
                <w:sz w:val="24"/>
              </w:rPr>
              <w:t>全部采纳</w:t>
            </w:r>
          </w:p>
        </w:tc>
      </w:tr>
      <w:tr w14:paraId="509D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008475E3">
            <w:pPr>
              <w:jc w:val="center"/>
              <w:rPr>
                <w:rFonts w:ascii="仿宋_GB2312" w:eastAsia="仿宋_GB2312" w:cs="Times New Roman" w:hAnsiTheme="minorEastAsia"/>
                <w:sz w:val="24"/>
              </w:rPr>
            </w:pPr>
            <w:r>
              <w:rPr>
                <w:rFonts w:hint="eastAsia" w:ascii="仿宋_GB2312" w:eastAsia="仿宋_GB2312" w:cs="Times New Roman" w:hAnsiTheme="minorEastAsia"/>
                <w:sz w:val="24"/>
              </w:rPr>
              <w:t>21</w:t>
            </w:r>
          </w:p>
        </w:tc>
        <w:tc>
          <w:tcPr>
            <w:tcW w:w="1366" w:type="pct"/>
            <w:vAlign w:val="center"/>
          </w:tcPr>
          <w:p w14:paraId="74AB435A">
            <w:pPr>
              <w:rPr>
                <w:rFonts w:ascii="仿宋_GB2312" w:hAnsi="宋体" w:eastAsia="仿宋_GB2312" w:cs="宋体"/>
                <w:sz w:val="24"/>
              </w:rPr>
            </w:pPr>
            <w:r>
              <w:rPr>
                <w:rFonts w:hint="eastAsia" w:ascii="仿宋_GB2312" w:hAnsi="宋体" w:eastAsia="仿宋_GB2312" w:cs="宋体"/>
                <w:sz w:val="24"/>
              </w:rPr>
              <w:t>对天然放射性环境调查的各项指标进行核实，判断各项检测分析指标的必要性，在编制说明进行详细论述</w:t>
            </w:r>
          </w:p>
        </w:tc>
        <w:tc>
          <w:tcPr>
            <w:tcW w:w="2351" w:type="pct"/>
            <w:vAlign w:val="center"/>
          </w:tcPr>
          <w:p w14:paraId="6943D53F">
            <w:pPr>
              <w:rPr>
                <w:rFonts w:ascii="仿宋_GB2312" w:hAnsi="宋体" w:eastAsia="仿宋_GB2312" w:cs="宋体"/>
                <w:sz w:val="24"/>
              </w:rPr>
            </w:pPr>
            <w:r>
              <w:rPr>
                <w:rFonts w:hint="eastAsia" w:ascii="仿宋_GB2312" w:hAnsi="宋体" w:eastAsia="仿宋_GB2312" w:cs="宋体"/>
                <w:sz w:val="24"/>
              </w:rPr>
              <w:t>本规范对所确立的调查指标及其采样分析方法进行了重新整理，并对过去35年间全国范围内的天然放射性调查工作进行了综合研究。在此基础上，明确了调查的基本原则，并确定了调查所涉及的核素。详见标准正文5.2及编制说明p18-p24页内容。</w:t>
            </w:r>
          </w:p>
        </w:tc>
        <w:tc>
          <w:tcPr>
            <w:tcW w:w="659" w:type="pct"/>
            <w:vAlign w:val="center"/>
          </w:tcPr>
          <w:p w14:paraId="6A58B983">
            <w:pPr>
              <w:rPr>
                <w:rFonts w:ascii="仿宋_GB2312" w:eastAsia="仿宋_GB2312"/>
                <w:sz w:val="24"/>
              </w:rPr>
            </w:pPr>
            <w:r>
              <w:rPr>
                <w:rFonts w:hint="eastAsia" w:ascii="仿宋_GB2312" w:eastAsia="仿宋_GB2312" w:cs="宋体" w:hAnsiTheme="minorEastAsia"/>
                <w:sz w:val="24"/>
              </w:rPr>
              <w:t>宁夏回族自治区核地质调查院高级工程师(退休)金龙</w:t>
            </w:r>
          </w:p>
        </w:tc>
        <w:tc>
          <w:tcPr>
            <w:tcW w:w="309" w:type="pct"/>
            <w:vAlign w:val="center"/>
          </w:tcPr>
          <w:p w14:paraId="68D1B872">
            <w:pPr>
              <w:jc w:val="left"/>
              <w:rPr>
                <w:rFonts w:ascii="仿宋_GB2312" w:eastAsia="仿宋_GB2312"/>
                <w:sz w:val="24"/>
              </w:rPr>
            </w:pPr>
            <w:r>
              <w:rPr>
                <w:rFonts w:hint="eastAsia" w:ascii="仿宋_GB2312" w:eastAsia="仿宋_GB2312" w:cs="仿宋_GB2312" w:hAnsiTheme="minorEastAsia"/>
                <w:bCs/>
                <w:sz w:val="24"/>
              </w:rPr>
              <w:t>全部采纳</w:t>
            </w:r>
          </w:p>
        </w:tc>
      </w:tr>
      <w:tr w14:paraId="5D25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51398B8B">
            <w:pPr>
              <w:jc w:val="center"/>
              <w:rPr>
                <w:rFonts w:ascii="仿宋_GB2312" w:eastAsia="仿宋_GB2312" w:cs="Times New Roman" w:hAnsiTheme="minorEastAsia"/>
                <w:sz w:val="24"/>
              </w:rPr>
            </w:pPr>
            <w:r>
              <w:rPr>
                <w:rFonts w:hint="eastAsia" w:ascii="仿宋_GB2312" w:eastAsia="仿宋_GB2312" w:cs="Times New Roman" w:hAnsiTheme="minorEastAsia"/>
                <w:sz w:val="24"/>
              </w:rPr>
              <w:t>22</w:t>
            </w:r>
          </w:p>
        </w:tc>
        <w:tc>
          <w:tcPr>
            <w:tcW w:w="1366" w:type="pct"/>
            <w:vAlign w:val="center"/>
          </w:tcPr>
          <w:p w14:paraId="27AB2372">
            <w:pPr>
              <w:rPr>
                <w:rFonts w:ascii="仿宋_GB2312" w:hAnsi="宋体" w:eastAsia="仿宋_GB2312" w:cs="宋体"/>
                <w:sz w:val="24"/>
              </w:rPr>
            </w:pPr>
            <w:r>
              <w:rPr>
                <w:rFonts w:hint="eastAsia" w:ascii="仿宋_GB2312" w:hAnsi="宋体" w:eastAsia="仿宋_GB2312" w:cs="宋体"/>
                <w:sz w:val="24"/>
              </w:rPr>
              <w:t>对网格布点法进行论证</w:t>
            </w:r>
          </w:p>
        </w:tc>
        <w:tc>
          <w:tcPr>
            <w:tcW w:w="2351" w:type="pct"/>
            <w:vAlign w:val="center"/>
          </w:tcPr>
          <w:p w14:paraId="6B7B9EFC">
            <w:pPr>
              <w:rPr>
                <w:rFonts w:ascii="仿宋_GB2312" w:hAnsi="宋体" w:eastAsia="仿宋_GB2312" w:cs="宋体"/>
                <w:sz w:val="24"/>
              </w:rPr>
            </w:pPr>
            <w:r>
              <w:rPr>
                <w:rFonts w:hint="eastAsia" w:ascii="仿宋_GB2312" w:hAnsi="宋体" w:eastAsia="仿宋_GB2312" w:cs="宋体"/>
                <w:sz w:val="24"/>
              </w:rPr>
              <w:t>通过综合分析全国过往工作资料，对比不同工作方法的优缺点，本研究最终决定采用网格法进行均匀布点，以面积为基准确定技术路线。根据工作范围的规模，选择适宜的调查网格。详见标准正文5.1.1及编制说明p15-p18页内容。</w:t>
            </w:r>
          </w:p>
        </w:tc>
        <w:tc>
          <w:tcPr>
            <w:tcW w:w="659" w:type="pct"/>
            <w:vAlign w:val="center"/>
          </w:tcPr>
          <w:p w14:paraId="008F09D5">
            <w:pPr>
              <w:rPr>
                <w:rFonts w:ascii="仿宋_GB2312" w:eastAsia="仿宋_GB2312"/>
                <w:sz w:val="24"/>
              </w:rPr>
            </w:pPr>
            <w:r>
              <w:rPr>
                <w:rFonts w:hint="eastAsia" w:ascii="仿宋_GB2312" w:eastAsia="仿宋_GB2312" w:cs="宋体" w:hAnsiTheme="minorEastAsia"/>
                <w:sz w:val="24"/>
              </w:rPr>
              <w:t>宁夏回族自治区核地质调查院高级工程师(退休)金龙</w:t>
            </w:r>
          </w:p>
        </w:tc>
        <w:tc>
          <w:tcPr>
            <w:tcW w:w="309" w:type="pct"/>
            <w:vAlign w:val="center"/>
          </w:tcPr>
          <w:p w14:paraId="0A78F398">
            <w:pPr>
              <w:jc w:val="left"/>
              <w:rPr>
                <w:rFonts w:ascii="仿宋_GB2312" w:eastAsia="仿宋_GB2312"/>
                <w:sz w:val="24"/>
              </w:rPr>
            </w:pPr>
            <w:r>
              <w:rPr>
                <w:rFonts w:hint="eastAsia" w:ascii="仿宋_GB2312" w:eastAsia="仿宋_GB2312" w:cs="仿宋_GB2312" w:hAnsiTheme="minorEastAsia"/>
                <w:bCs/>
                <w:sz w:val="24"/>
              </w:rPr>
              <w:t>全部采纳</w:t>
            </w:r>
          </w:p>
        </w:tc>
      </w:tr>
      <w:tr w14:paraId="0428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0C200B5E">
            <w:pPr>
              <w:jc w:val="center"/>
              <w:rPr>
                <w:rFonts w:ascii="仿宋_GB2312" w:eastAsia="仿宋_GB2312" w:cs="Times New Roman" w:hAnsiTheme="minorEastAsia"/>
                <w:sz w:val="24"/>
              </w:rPr>
            </w:pPr>
            <w:r>
              <w:rPr>
                <w:rFonts w:hint="eastAsia" w:ascii="仿宋_GB2312" w:eastAsia="仿宋_GB2312" w:cs="Times New Roman" w:hAnsiTheme="minorEastAsia"/>
                <w:sz w:val="24"/>
              </w:rPr>
              <w:t>23</w:t>
            </w:r>
          </w:p>
        </w:tc>
        <w:tc>
          <w:tcPr>
            <w:tcW w:w="1366" w:type="pct"/>
            <w:vAlign w:val="center"/>
          </w:tcPr>
          <w:p w14:paraId="4460CDA5">
            <w:pPr>
              <w:rPr>
                <w:rFonts w:ascii="仿宋_GB2312" w:hAnsi="宋体" w:eastAsia="仿宋_GB2312" w:cs="宋体"/>
                <w:sz w:val="24"/>
              </w:rPr>
            </w:pPr>
            <w:r>
              <w:rPr>
                <w:rFonts w:hint="eastAsia" w:ascii="仿宋_GB2312" w:hAnsi="宋体" w:eastAsia="仿宋_GB2312" w:cs="宋体"/>
                <w:sz w:val="24"/>
              </w:rPr>
              <w:t>编制说明：调查项目存在执行标准不统一，有必要制定统一的标准，这是制定标准的必要性。伽马放射源，是有特定含义的，只能说放射性水平比较高，这个很容易产生歧义。</w:t>
            </w:r>
          </w:p>
        </w:tc>
        <w:tc>
          <w:tcPr>
            <w:tcW w:w="2351" w:type="pct"/>
            <w:vAlign w:val="center"/>
          </w:tcPr>
          <w:p w14:paraId="50BE0B22">
            <w:pPr>
              <w:rPr>
                <w:rFonts w:ascii="仿宋_GB2312" w:hAnsi="宋体" w:eastAsia="仿宋_GB2312" w:cs="宋体"/>
                <w:sz w:val="24"/>
              </w:rPr>
            </w:pPr>
            <w:r>
              <w:rPr>
                <w:rFonts w:hint="eastAsia" w:ascii="仿宋_GB2312" w:hAnsi="宋体" w:eastAsia="仿宋_GB2312" w:cs="宋体"/>
                <w:sz w:val="24"/>
              </w:rPr>
              <w:t>对编制说明中二、制定(修订)标准的必要性和意义，进行了重新修订，从法律法规依据等方面补充内容。重新梳理编制说明文本，对容易引起歧义的词汇做出了修改。</w:t>
            </w:r>
          </w:p>
        </w:tc>
        <w:tc>
          <w:tcPr>
            <w:tcW w:w="659" w:type="pct"/>
            <w:vAlign w:val="center"/>
          </w:tcPr>
          <w:p w14:paraId="25BDE92D">
            <w:pPr>
              <w:rPr>
                <w:rFonts w:ascii="仿宋_GB2312" w:eastAsia="仿宋_GB2312"/>
                <w:sz w:val="24"/>
              </w:rPr>
            </w:pPr>
            <w:r>
              <w:rPr>
                <w:rFonts w:hint="eastAsia" w:ascii="仿宋_GB2312" w:eastAsia="仿宋_GB2312" w:cs="宋体" w:hAnsiTheme="minorEastAsia"/>
                <w:sz w:val="24"/>
              </w:rPr>
              <w:t>宁夏回族自治区核地质调查院高级工程师(退休)金龙</w:t>
            </w:r>
          </w:p>
        </w:tc>
        <w:tc>
          <w:tcPr>
            <w:tcW w:w="309" w:type="pct"/>
            <w:vAlign w:val="center"/>
          </w:tcPr>
          <w:p w14:paraId="01A72451">
            <w:pPr>
              <w:jc w:val="left"/>
              <w:rPr>
                <w:rFonts w:ascii="仿宋_GB2312" w:eastAsia="仿宋_GB2312"/>
                <w:sz w:val="24"/>
              </w:rPr>
            </w:pPr>
            <w:r>
              <w:rPr>
                <w:rFonts w:hint="eastAsia" w:ascii="仿宋_GB2312" w:eastAsia="仿宋_GB2312" w:cs="仿宋_GB2312" w:hAnsiTheme="minorEastAsia"/>
                <w:bCs/>
                <w:sz w:val="24"/>
              </w:rPr>
              <w:t>全部采纳</w:t>
            </w:r>
          </w:p>
        </w:tc>
      </w:tr>
      <w:tr w14:paraId="3E08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2DCEB3DD">
            <w:pPr>
              <w:jc w:val="center"/>
              <w:rPr>
                <w:rFonts w:ascii="仿宋_GB2312" w:eastAsia="仿宋_GB2312" w:cs="Times New Roman" w:hAnsiTheme="minorEastAsia"/>
                <w:sz w:val="24"/>
              </w:rPr>
            </w:pPr>
            <w:r>
              <w:rPr>
                <w:rFonts w:hint="eastAsia" w:ascii="仿宋_GB2312" w:eastAsia="仿宋_GB2312" w:cs="Times New Roman" w:hAnsiTheme="minorEastAsia"/>
                <w:sz w:val="24"/>
              </w:rPr>
              <w:t>24</w:t>
            </w:r>
          </w:p>
        </w:tc>
        <w:tc>
          <w:tcPr>
            <w:tcW w:w="1366" w:type="pct"/>
            <w:vAlign w:val="center"/>
          </w:tcPr>
          <w:p w14:paraId="6DD6F5B7">
            <w:pPr>
              <w:rPr>
                <w:rFonts w:ascii="仿宋_GB2312" w:hAnsi="宋体" w:eastAsia="仿宋_GB2312" w:cs="宋体"/>
                <w:sz w:val="24"/>
              </w:rPr>
            </w:pPr>
            <w:r>
              <w:rPr>
                <w:rFonts w:hint="eastAsia" w:ascii="仿宋_GB2312" w:hAnsi="宋体" w:eastAsia="仿宋_GB2312" w:cs="宋体"/>
                <w:sz w:val="24"/>
              </w:rPr>
              <w:t>标准正文：建议广泛征求意见，两次征求专家意见修改完善，主要是完善规范的格式，再征求相关行业、使用标准单位的意见，内容技术层面完善了再征求厅局的相关单位的意见，进一步的完善。</w:t>
            </w:r>
          </w:p>
        </w:tc>
        <w:tc>
          <w:tcPr>
            <w:tcW w:w="2351" w:type="pct"/>
            <w:vAlign w:val="center"/>
          </w:tcPr>
          <w:p w14:paraId="6A9D5285">
            <w:pPr>
              <w:rPr>
                <w:rFonts w:ascii="仿宋_GB2312" w:hAnsi="宋体" w:eastAsia="仿宋_GB2312" w:cs="宋体"/>
                <w:sz w:val="24"/>
              </w:rPr>
            </w:pPr>
            <w:r>
              <w:rPr>
                <w:rFonts w:hint="eastAsia" w:ascii="仿宋_GB2312" w:hAnsi="宋体" w:eastAsia="仿宋_GB2312" w:cs="宋体"/>
                <w:sz w:val="24"/>
              </w:rPr>
              <w:t>标准修改完善后，按程序征求意见，继续修改完善。</w:t>
            </w:r>
          </w:p>
        </w:tc>
        <w:tc>
          <w:tcPr>
            <w:tcW w:w="659" w:type="pct"/>
            <w:vAlign w:val="center"/>
          </w:tcPr>
          <w:p w14:paraId="3073A33E">
            <w:pPr>
              <w:rPr>
                <w:rFonts w:ascii="仿宋_GB2312" w:eastAsia="仿宋_GB2312"/>
                <w:sz w:val="24"/>
              </w:rPr>
            </w:pPr>
            <w:r>
              <w:rPr>
                <w:rFonts w:hint="eastAsia" w:ascii="仿宋_GB2312" w:eastAsia="仿宋_GB2312" w:cs="宋体" w:hAnsiTheme="minorEastAsia"/>
                <w:sz w:val="24"/>
              </w:rPr>
              <w:t>宁夏回族自治区核地质调查院高级工程师(退休)金龙</w:t>
            </w:r>
          </w:p>
        </w:tc>
        <w:tc>
          <w:tcPr>
            <w:tcW w:w="309" w:type="pct"/>
            <w:vAlign w:val="center"/>
          </w:tcPr>
          <w:p w14:paraId="5F4A3CB7">
            <w:pPr>
              <w:jc w:val="left"/>
              <w:rPr>
                <w:rFonts w:ascii="仿宋_GB2312" w:eastAsia="仿宋_GB2312"/>
                <w:sz w:val="24"/>
              </w:rPr>
            </w:pPr>
            <w:r>
              <w:rPr>
                <w:rFonts w:hint="eastAsia" w:ascii="仿宋_GB2312" w:eastAsia="仿宋_GB2312" w:cs="仿宋_GB2312" w:hAnsiTheme="minorEastAsia"/>
                <w:bCs/>
                <w:sz w:val="24"/>
              </w:rPr>
              <w:t>全部采纳</w:t>
            </w:r>
          </w:p>
        </w:tc>
      </w:tr>
      <w:tr w14:paraId="44B0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5" w:type="pct"/>
            <w:vAlign w:val="center"/>
          </w:tcPr>
          <w:p w14:paraId="598DC49C">
            <w:pPr>
              <w:jc w:val="center"/>
              <w:rPr>
                <w:rFonts w:ascii="仿宋_GB2312" w:eastAsia="仿宋_GB2312" w:cs="Times New Roman" w:hAnsiTheme="minorEastAsia"/>
                <w:sz w:val="24"/>
              </w:rPr>
            </w:pPr>
            <w:r>
              <w:rPr>
                <w:rFonts w:hint="eastAsia" w:ascii="仿宋_GB2312" w:eastAsia="仿宋_GB2312" w:cs="Times New Roman" w:hAnsiTheme="minorEastAsia"/>
                <w:sz w:val="24"/>
              </w:rPr>
              <w:t>25</w:t>
            </w:r>
          </w:p>
        </w:tc>
        <w:tc>
          <w:tcPr>
            <w:tcW w:w="1366" w:type="pct"/>
            <w:vAlign w:val="center"/>
          </w:tcPr>
          <w:p w14:paraId="2EBC897D">
            <w:pPr>
              <w:jc w:val="left"/>
              <w:rPr>
                <w:rFonts w:ascii="仿宋_GB2312" w:eastAsia="仿宋_GB2312" w:cs="Times New Roman" w:hAnsiTheme="minorEastAsia"/>
                <w:sz w:val="24"/>
              </w:rPr>
            </w:pPr>
            <w:r>
              <w:rPr>
                <w:rFonts w:hint="eastAsia" w:ascii="仿宋_GB2312" w:eastAsia="仿宋_GB2312" w:cs="宋体" w:hAnsiTheme="minorEastAsia"/>
                <w:sz w:val="24"/>
              </w:rPr>
              <w:t>对编制说明进行重新修订完善，补充缺少的证据来源</w:t>
            </w:r>
          </w:p>
        </w:tc>
        <w:tc>
          <w:tcPr>
            <w:tcW w:w="2351" w:type="pct"/>
            <w:vAlign w:val="center"/>
          </w:tcPr>
          <w:p w14:paraId="11F33AB5">
            <w:pPr>
              <w:jc w:val="left"/>
              <w:rPr>
                <w:rFonts w:ascii="仿宋_GB2312" w:eastAsia="仿宋_GB2312" w:cs="宋体" w:hAnsiTheme="minorEastAsia"/>
                <w:sz w:val="24"/>
              </w:rPr>
            </w:pPr>
            <w:r>
              <w:rPr>
                <w:rFonts w:hint="eastAsia" w:ascii="仿宋_GB2312" w:eastAsia="仿宋_GB2312" w:cs="宋体" w:hAnsiTheme="minorEastAsia"/>
                <w:sz w:val="24"/>
              </w:rPr>
              <w:t>经过对文本逐句、逐条的严谨考证，本文重新梳理了标准正文的逻辑结构，并据此对全文进行了系统的修订。基于修订后的新标准正文，重新撰写了编制说明，并对主要调查内容及指标进行了深入的论证分析。详见标准正文及编制说明全文。</w:t>
            </w:r>
          </w:p>
        </w:tc>
        <w:tc>
          <w:tcPr>
            <w:tcW w:w="659" w:type="pct"/>
            <w:vAlign w:val="center"/>
          </w:tcPr>
          <w:p w14:paraId="3B1FF15E">
            <w:pPr>
              <w:jc w:val="left"/>
              <w:rPr>
                <w:rFonts w:ascii="仿宋_GB2312" w:eastAsia="仿宋_GB2312" w:cs="宋体" w:hAnsiTheme="minorEastAsia"/>
                <w:sz w:val="24"/>
              </w:rPr>
            </w:pPr>
            <w:r>
              <w:rPr>
                <w:rFonts w:hint="eastAsia" w:ascii="仿宋_GB2312" w:eastAsia="仿宋_GB2312" w:cs="宋体" w:hAnsiTheme="minorEastAsia"/>
                <w:sz w:val="24"/>
              </w:rPr>
              <w:t>原宁夏银川生态环境局一级调研员、高级工程师尹伟康</w:t>
            </w:r>
          </w:p>
        </w:tc>
        <w:tc>
          <w:tcPr>
            <w:tcW w:w="309" w:type="pct"/>
            <w:vAlign w:val="center"/>
          </w:tcPr>
          <w:p w14:paraId="537B8527">
            <w:pPr>
              <w:jc w:val="left"/>
              <w:rPr>
                <w:rFonts w:ascii="仿宋_GB2312" w:eastAsia="仿宋_GB2312" w:cs="Times New Roman" w:hAnsiTheme="minorEastAsia"/>
                <w:sz w:val="24"/>
              </w:rPr>
            </w:pPr>
            <w:r>
              <w:rPr>
                <w:rFonts w:hint="eastAsia" w:ascii="仿宋_GB2312" w:eastAsia="仿宋_GB2312" w:cs="仿宋_GB2312" w:hAnsiTheme="minorEastAsia"/>
                <w:bCs/>
                <w:sz w:val="24"/>
              </w:rPr>
              <w:t>全部采纳</w:t>
            </w:r>
          </w:p>
        </w:tc>
      </w:tr>
      <w:tr w14:paraId="47D0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15" w:type="pct"/>
            <w:vAlign w:val="center"/>
          </w:tcPr>
          <w:p w14:paraId="32CE8E9A">
            <w:pPr>
              <w:rPr>
                <w:rFonts w:ascii="仿宋_GB2312" w:eastAsia="仿宋_GB2312" w:cs="Times New Roman" w:hAnsiTheme="minorEastAsia"/>
                <w:sz w:val="24"/>
              </w:rPr>
            </w:pPr>
            <w:r>
              <w:rPr>
                <w:rFonts w:hint="eastAsia" w:ascii="仿宋_GB2312" w:eastAsia="仿宋_GB2312" w:cs="Times New Roman" w:hAnsiTheme="minorEastAsia"/>
                <w:sz w:val="24"/>
              </w:rPr>
              <w:t>26</w:t>
            </w:r>
          </w:p>
        </w:tc>
        <w:tc>
          <w:tcPr>
            <w:tcW w:w="1366" w:type="pct"/>
            <w:vAlign w:val="center"/>
          </w:tcPr>
          <w:p w14:paraId="39417AA5">
            <w:pPr>
              <w:rPr>
                <w:rFonts w:ascii="仿宋_GB2312" w:eastAsia="仿宋_GB2312"/>
                <w:sz w:val="24"/>
              </w:rPr>
            </w:pPr>
            <w:bookmarkStart w:id="71" w:name="_Toc200901185"/>
            <w:r>
              <w:rPr>
                <w:rFonts w:hint="eastAsia" w:ascii="仿宋_GB2312" w:eastAsia="仿宋_GB2312"/>
                <w:sz w:val="24"/>
              </w:rPr>
              <w:t>核实调查内容方面需要检测的项目，与国家层面的规定规范进行对比总结，确定调查内容</w:t>
            </w:r>
            <w:bookmarkEnd w:id="71"/>
          </w:p>
        </w:tc>
        <w:tc>
          <w:tcPr>
            <w:tcW w:w="2351" w:type="pct"/>
            <w:vAlign w:val="center"/>
          </w:tcPr>
          <w:p w14:paraId="200AD779">
            <w:pPr>
              <w:rPr>
                <w:rFonts w:ascii="仿宋_GB2312" w:eastAsia="仿宋_GB2312" w:cs="宋体" w:hAnsiTheme="minorEastAsia"/>
                <w:sz w:val="24"/>
              </w:rPr>
            </w:pPr>
            <w:r>
              <w:rPr>
                <w:rFonts w:hint="eastAsia" w:ascii="仿宋_GB2312" w:eastAsia="仿宋_GB2312" w:cs="宋体" w:hAnsiTheme="minorEastAsia"/>
                <w:sz w:val="24"/>
              </w:rPr>
              <w:t>本规范对所确立的调查指标及其采样分析方法进行了重新整理，并对过去35年间全国范围内的天然放射性调查工作进行了综合研究。在此基础上，明确了调查的基本原则，并确定了调查所涉及的核素。详见标准正文5.2及编制说明p18-p24页内容。</w:t>
            </w:r>
          </w:p>
        </w:tc>
        <w:tc>
          <w:tcPr>
            <w:tcW w:w="659" w:type="pct"/>
            <w:vAlign w:val="center"/>
          </w:tcPr>
          <w:p w14:paraId="5AF8F407">
            <w:pPr>
              <w:rPr>
                <w:rFonts w:ascii="仿宋_GB2312" w:eastAsia="仿宋_GB2312" w:cs="Times New Roman" w:hAnsiTheme="minorEastAsia"/>
                <w:sz w:val="24"/>
              </w:rPr>
            </w:pPr>
            <w:r>
              <w:rPr>
                <w:rFonts w:hint="eastAsia" w:ascii="仿宋_GB2312" w:eastAsia="仿宋_GB2312" w:cs="宋体" w:hAnsiTheme="minorEastAsia"/>
                <w:sz w:val="24"/>
              </w:rPr>
              <w:t>原宁夏银川生态环境局一级调研员、高级工程师尹伟康</w:t>
            </w:r>
          </w:p>
        </w:tc>
        <w:tc>
          <w:tcPr>
            <w:tcW w:w="309" w:type="pct"/>
            <w:vAlign w:val="center"/>
          </w:tcPr>
          <w:p w14:paraId="1BB69DCA">
            <w:pPr>
              <w:rPr>
                <w:rFonts w:ascii="仿宋_GB2312" w:eastAsia="仿宋_GB2312" w:cs="Times New Roman" w:hAnsiTheme="minorEastAsia"/>
                <w:sz w:val="24"/>
              </w:rPr>
            </w:pPr>
            <w:r>
              <w:rPr>
                <w:rFonts w:hint="eastAsia" w:ascii="仿宋_GB2312" w:eastAsia="仿宋_GB2312" w:cs="仿宋_GB2312" w:hAnsiTheme="minorEastAsia"/>
                <w:bCs/>
                <w:sz w:val="24"/>
              </w:rPr>
              <w:t>全部采纳</w:t>
            </w:r>
          </w:p>
        </w:tc>
      </w:tr>
      <w:tr w14:paraId="2506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315" w:type="pct"/>
            <w:vAlign w:val="center"/>
          </w:tcPr>
          <w:p w14:paraId="16ACAF81">
            <w:pPr>
              <w:jc w:val="center"/>
              <w:rPr>
                <w:rFonts w:ascii="仿宋_GB2312" w:eastAsia="仿宋_GB2312" w:cs="Times New Roman" w:hAnsiTheme="minorEastAsia"/>
                <w:sz w:val="24"/>
              </w:rPr>
            </w:pPr>
            <w:r>
              <w:rPr>
                <w:rFonts w:hint="eastAsia" w:ascii="仿宋_GB2312" w:eastAsia="仿宋_GB2312" w:cs="Times New Roman" w:hAnsiTheme="minorEastAsia"/>
                <w:sz w:val="24"/>
              </w:rPr>
              <w:t>27</w:t>
            </w:r>
          </w:p>
        </w:tc>
        <w:tc>
          <w:tcPr>
            <w:tcW w:w="1366" w:type="pct"/>
            <w:vAlign w:val="center"/>
          </w:tcPr>
          <w:p w14:paraId="79D5A407">
            <w:pPr>
              <w:jc w:val="left"/>
              <w:rPr>
                <w:rFonts w:ascii="仿宋_GB2312" w:eastAsia="仿宋_GB2312" w:cs="Times New Roman" w:hAnsiTheme="minorEastAsia"/>
                <w:sz w:val="24"/>
              </w:rPr>
            </w:pPr>
            <w:r>
              <w:rPr>
                <w:rFonts w:hint="eastAsia" w:ascii="仿宋_GB2312" w:eastAsia="仿宋_GB2312" w:cs="宋体" w:hAnsiTheme="minorEastAsia"/>
                <w:sz w:val="24"/>
              </w:rPr>
              <w:t>对网格布点的大小进行详细论述解释，补充编制说明的论证</w:t>
            </w:r>
          </w:p>
        </w:tc>
        <w:tc>
          <w:tcPr>
            <w:tcW w:w="2351" w:type="pct"/>
            <w:vAlign w:val="center"/>
          </w:tcPr>
          <w:p w14:paraId="14029B47">
            <w:pPr>
              <w:jc w:val="left"/>
              <w:rPr>
                <w:rFonts w:ascii="仿宋_GB2312" w:eastAsia="仿宋_GB2312" w:cs="宋体" w:hAnsiTheme="minorEastAsia"/>
                <w:sz w:val="24"/>
              </w:rPr>
            </w:pPr>
            <w:r>
              <w:rPr>
                <w:rFonts w:hint="eastAsia" w:ascii="仿宋_GB2312" w:eastAsia="仿宋_GB2312" w:cs="宋体" w:hAnsiTheme="minorEastAsia"/>
                <w:sz w:val="24"/>
              </w:rPr>
              <w:t>通过综合分析全国过往工作资料，对比不同工作方法的优缺点，本研究最终决定采用网格法进行均匀布点，以面积为基准确定技术路线。根据工作范围的规模，选择适宜的调查网格。详见标准正文5.1.1及编制说明p15-p18页内容。</w:t>
            </w:r>
          </w:p>
        </w:tc>
        <w:tc>
          <w:tcPr>
            <w:tcW w:w="659" w:type="pct"/>
            <w:vAlign w:val="center"/>
          </w:tcPr>
          <w:p w14:paraId="430BBAA6">
            <w:pPr>
              <w:jc w:val="left"/>
              <w:rPr>
                <w:rFonts w:ascii="仿宋_GB2312" w:eastAsia="仿宋_GB2312" w:cs="Times New Roman" w:hAnsiTheme="minorEastAsia"/>
                <w:sz w:val="24"/>
              </w:rPr>
            </w:pPr>
            <w:r>
              <w:rPr>
                <w:rFonts w:hint="eastAsia" w:ascii="仿宋_GB2312" w:eastAsia="仿宋_GB2312" w:cs="宋体" w:hAnsiTheme="minorEastAsia"/>
                <w:sz w:val="24"/>
              </w:rPr>
              <w:t>原宁夏银川生态环境局一级调研员、高级工程师尹伟康</w:t>
            </w:r>
          </w:p>
        </w:tc>
        <w:tc>
          <w:tcPr>
            <w:tcW w:w="309" w:type="pct"/>
            <w:vAlign w:val="center"/>
          </w:tcPr>
          <w:p w14:paraId="34045390">
            <w:pPr>
              <w:jc w:val="center"/>
              <w:rPr>
                <w:rFonts w:ascii="仿宋_GB2312" w:eastAsia="仿宋_GB2312"/>
                <w:sz w:val="24"/>
              </w:rPr>
            </w:pPr>
            <w:bookmarkStart w:id="72" w:name="_Toc200901186"/>
            <w:r>
              <w:rPr>
                <w:rFonts w:hint="eastAsia" w:ascii="仿宋_GB2312" w:eastAsia="仿宋_GB2312"/>
                <w:sz w:val="24"/>
              </w:rPr>
              <w:t>全部采纳</w:t>
            </w:r>
            <w:bookmarkEnd w:id="72"/>
          </w:p>
        </w:tc>
      </w:tr>
      <w:tr w14:paraId="54E9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15" w:type="pct"/>
            <w:vAlign w:val="center"/>
          </w:tcPr>
          <w:p w14:paraId="07419A1B">
            <w:pPr>
              <w:jc w:val="center"/>
              <w:rPr>
                <w:rFonts w:ascii="仿宋_GB2312" w:eastAsia="仿宋_GB2312" w:cs="Times New Roman" w:hAnsiTheme="minorEastAsia"/>
                <w:sz w:val="24"/>
              </w:rPr>
            </w:pPr>
            <w:r>
              <w:rPr>
                <w:rFonts w:hint="eastAsia" w:ascii="仿宋_GB2312" w:eastAsia="仿宋_GB2312" w:cs="Times New Roman" w:hAnsiTheme="minorEastAsia"/>
                <w:sz w:val="24"/>
              </w:rPr>
              <w:t>28</w:t>
            </w:r>
          </w:p>
        </w:tc>
        <w:tc>
          <w:tcPr>
            <w:tcW w:w="1366" w:type="pct"/>
            <w:vAlign w:val="center"/>
          </w:tcPr>
          <w:p w14:paraId="7AC1A465">
            <w:pPr>
              <w:jc w:val="left"/>
              <w:rPr>
                <w:rFonts w:ascii="仿宋_GB2312" w:eastAsia="仿宋_GB2312" w:cs="宋体" w:hAnsiTheme="minorEastAsia"/>
                <w:sz w:val="24"/>
              </w:rPr>
            </w:pPr>
            <w:r>
              <w:rPr>
                <w:rFonts w:hint="eastAsia" w:ascii="仿宋_GB2312" w:eastAsia="仿宋_GB2312" w:cs="宋体" w:hAnsiTheme="minorEastAsia"/>
                <w:sz w:val="24"/>
              </w:rPr>
              <w:t>编制说明：编制说明中要将规范的修改过程进行解释，征求了哪些专家，哪些部门的意见和建议，具体修改内容。规范对同行业和其他监测部门不能有排他性的问题，规范实施以后，它具有指导性，但是不排他。要征求本地其他能够开展天然放射性调查行业部门的意见，都可以按照规范的开展工作，不能有局限性和约束性，要做出说明。规范实施过程中不能增加其他单位或者主体的社会成本，要做出解释。</w:t>
            </w:r>
          </w:p>
        </w:tc>
        <w:tc>
          <w:tcPr>
            <w:tcW w:w="2351" w:type="pct"/>
            <w:vAlign w:val="center"/>
          </w:tcPr>
          <w:p w14:paraId="71CCA56F">
            <w:pPr>
              <w:jc w:val="left"/>
              <w:rPr>
                <w:rFonts w:ascii="仿宋_GB2312" w:eastAsia="仿宋_GB2312" w:cs="宋体" w:hAnsiTheme="minorEastAsia"/>
                <w:sz w:val="24"/>
              </w:rPr>
            </w:pPr>
            <w:r>
              <w:rPr>
                <w:rFonts w:hint="eastAsia" w:ascii="仿宋_GB2312" w:eastAsia="仿宋_GB2312" w:cs="宋体" w:hAnsiTheme="minorEastAsia"/>
                <w:sz w:val="24"/>
              </w:rPr>
              <w:t>补充了征求意见汇总表，在表中对征求的意见逐条进行了解释说明。在编制说明中补充了标准实施效益与经济分析，论述了标准不具备排他性，同时有利于降低社会开展放射性环境调查的工作成本。</w:t>
            </w:r>
          </w:p>
        </w:tc>
        <w:tc>
          <w:tcPr>
            <w:tcW w:w="659" w:type="pct"/>
            <w:vAlign w:val="center"/>
          </w:tcPr>
          <w:p w14:paraId="52F37F25">
            <w:pPr>
              <w:jc w:val="left"/>
              <w:rPr>
                <w:rFonts w:ascii="仿宋_GB2312" w:eastAsia="仿宋_GB2312" w:cs="宋体" w:hAnsiTheme="minorEastAsia"/>
                <w:sz w:val="24"/>
              </w:rPr>
            </w:pPr>
            <w:r>
              <w:rPr>
                <w:rFonts w:hint="eastAsia" w:ascii="仿宋_GB2312" w:eastAsia="仿宋_GB2312" w:cs="宋体" w:hAnsiTheme="minorEastAsia"/>
                <w:sz w:val="24"/>
              </w:rPr>
              <w:t>原宁夏银川生态环境局一级调研员、高级工程师尹伟康</w:t>
            </w:r>
          </w:p>
        </w:tc>
        <w:tc>
          <w:tcPr>
            <w:tcW w:w="309" w:type="pct"/>
            <w:vAlign w:val="center"/>
          </w:tcPr>
          <w:p w14:paraId="626196F7">
            <w:pPr>
              <w:jc w:val="center"/>
              <w:rPr>
                <w:rFonts w:ascii="仿宋_GB2312" w:eastAsia="仿宋_GB2312"/>
                <w:sz w:val="24"/>
              </w:rPr>
            </w:pPr>
            <w:r>
              <w:rPr>
                <w:rFonts w:hint="eastAsia" w:ascii="仿宋_GB2312" w:eastAsia="仿宋_GB2312"/>
                <w:sz w:val="24"/>
              </w:rPr>
              <w:t>全部采纳</w:t>
            </w:r>
          </w:p>
        </w:tc>
      </w:tr>
      <w:tr w14:paraId="28FE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315" w:type="pct"/>
            <w:vAlign w:val="center"/>
          </w:tcPr>
          <w:p w14:paraId="19A6C7FA">
            <w:pPr>
              <w:jc w:val="center"/>
              <w:rPr>
                <w:rFonts w:ascii="仿宋_GB2312" w:eastAsia="仿宋_GB2312" w:cs="Times New Roman" w:hAnsiTheme="minorEastAsia"/>
                <w:sz w:val="24"/>
              </w:rPr>
            </w:pPr>
            <w:r>
              <w:rPr>
                <w:rFonts w:hint="eastAsia" w:ascii="仿宋_GB2312" w:eastAsia="仿宋_GB2312" w:cs="Times New Roman" w:hAnsiTheme="minorEastAsia"/>
                <w:sz w:val="24"/>
              </w:rPr>
              <w:t>29</w:t>
            </w:r>
          </w:p>
        </w:tc>
        <w:tc>
          <w:tcPr>
            <w:tcW w:w="1366" w:type="pct"/>
            <w:vAlign w:val="center"/>
          </w:tcPr>
          <w:p w14:paraId="2E528CC0">
            <w:pPr>
              <w:jc w:val="left"/>
              <w:rPr>
                <w:rFonts w:ascii="仿宋_GB2312" w:eastAsia="仿宋_GB2312" w:cs="宋体" w:hAnsiTheme="minorEastAsia"/>
                <w:sz w:val="24"/>
              </w:rPr>
            </w:pPr>
            <w:r>
              <w:rPr>
                <w:rFonts w:hint="eastAsia" w:ascii="仿宋_GB2312" w:eastAsia="仿宋_GB2312" w:cs="宋体" w:hAnsiTheme="minorEastAsia"/>
                <w:sz w:val="24"/>
              </w:rPr>
              <w:t>标准正文：监测质量保证引用按照国家规范执行。调查方案和后面的报告编制所涉及的内容要完整一致。</w:t>
            </w:r>
          </w:p>
        </w:tc>
        <w:tc>
          <w:tcPr>
            <w:tcW w:w="2351" w:type="pct"/>
            <w:vAlign w:val="center"/>
          </w:tcPr>
          <w:p w14:paraId="2FEE6DCE">
            <w:pPr>
              <w:jc w:val="left"/>
              <w:rPr>
                <w:rFonts w:ascii="仿宋_GB2312" w:eastAsia="仿宋_GB2312" w:cs="宋体" w:hAnsiTheme="minorEastAsia"/>
                <w:sz w:val="24"/>
              </w:rPr>
            </w:pPr>
            <w:r>
              <w:rPr>
                <w:rFonts w:hint="eastAsia" w:ascii="仿宋_GB2312" w:eastAsia="仿宋_GB2312" w:cs="宋体" w:hAnsiTheme="minorEastAsia"/>
                <w:sz w:val="24"/>
              </w:rPr>
              <w:t>按规范要求调整了标准正文的标准引用。调查方案和调查成果报告所涉及的内容进行了统一，修改了容易引起歧义的标题。</w:t>
            </w:r>
          </w:p>
        </w:tc>
        <w:tc>
          <w:tcPr>
            <w:tcW w:w="659" w:type="pct"/>
            <w:vAlign w:val="center"/>
          </w:tcPr>
          <w:p w14:paraId="68F73952">
            <w:pPr>
              <w:jc w:val="left"/>
              <w:rPr>
                <w:rFonts w:ascii="仿宋_GB2312" w:eastAsia="仿宋_GB2312" w:cs="宋体" w:hAnsiTheme="minorEastAsia"/>
                <w:sz w:val="24"/>
              </w:rPr>
            </w:pPr>
            <w:r>
              <w:rPr>
                <w:rFonts w:hint="eastAsia" w:ascii="仿宋_GB2312" w:eastAsia="仿宋_GB2312" w:cs="宋体" w:hAnsiTheme="minorEastAsia"/>
                <w:sz w:val="24"/>
              </w:rPr>
              <w:t>原宁夏银川生态环境局一级调研员、高级工程师尹伟康</w:t>
            </w:r>
          </w:p>
        </w:tc>
        <w:tc>
          <w:tcPr>
            <w:tcW w:w="309" w:type="pct"/>
            <w:vAlign w:val="center"/>
          </w:tcPr>
          <w:p w14:paraId="6F5EF58C">
            <w:pPr>
              <w:jc w:val="center"/>
              <w:rPr>
                <w:rFonts w:ascii="仿宋_GB2312" w:eastAsia="仿宋_GB2312"/>
                <w:sz w:val="24"/>
              </w:rPr>
            </w:pPr>
            <w:r>
              <w:rPr>
                <w:rFonts w:hint="eastAsia" w:ascii="仿宋_GB2312" w:eastAsia="仿宋_GB2312"/>
                <w:sz w:val="24"/>
              </w:rPr>
              <w:t>全部采纳</w:t>
            </w:r>
          </w:p>
        </w:tc>
      </w:tr>
      <w:tr w14:paraId="08B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58862A14">
            <w:pPr>
              <w:jc w:val="center"/>
              <w:rPr>
                <w:rFonts w:ascii="仿宋_GB2312" w:eastAsia="仿宋_GB2312" w:cs="Times New Roman" w:hAnsiTheme="minorEastAsia"/>
                <w:sz w:val="24"/>
              </w:rPr>
            </w:pPr>
            <w:r>
              <w:rPr>
                <w:rFonts w:hint="eastAsia" w:ascii="仿宋_GB2312" w:eastAsia="仿宋_GB2312" w:cs="Times New Roman" w:hAnsiTheme="minorEastAsia"/>
                <w:sz w:val="24"/>
              </w:rPr>
              <w:t>30</w:t>
            </w:r>
          </w:p>
        </w:tc>
        <w:tc>
          <w:tcPr>
            <w:tcW w:w="1366" w:type="pct"/>
            <w:vAlign w:val="center"/>
          </w:tcPr>
          <w:p w14:paraId="2E092D04">
            <w:pPr>
              <w:jc w:val="left"/>
              <w:rPr>
                <w:rFonts w:ascii="仿宋_GB2312" w:hAnsi="宋体" w:eastAsia="仿宋_GB2312" w:cs="宋体"/>
                <w:sz w:val="24"/>
                <w:lang w:bidi="ar"/>
              </w:rPr>
            </w:pPr>
            <w:r>
              <w:rPr>
                <w:rFonts w:hint="eastAsia" w:ascii="仿宋_GB2312" w:hAnsi="宋体" w:eastAsia="仿宋_GB2312" w:cs="宋体"/>
                <w:sz w:val="24"/>
                <w:lang w:bidi="ar"/>
              </w:rPr>
              <w:t>重新按照编制说明的范式对编制说明进行修订，逻辑论证需更加详细</w:t>
            </w:r>
          </w:p>
        </w:tc>
        <w:tc>
          <w:tcPr>
            <w:tcW w:w="2351" w:type="pct"/>
            <w:vAlign w:val="center"/>
          </w:tcPr>
          <w:p w14:paraId="3110AD93">
            <w:pPr>
              <w:jc w:val="left"/>
              <w:rPr>
                <w:rFonts w:ascii="仿宋_GB2312" w:hAnsi="宋体" w:eastAsia="仿宋_GB2312" w:cs="宋体"/>
                <w:sz w:val="24"/>
              </w:rPr>
            </w:pPr>
            <w:r>
              <w:rPr>
                <w:rFonts w:hint="eastAsia" w:ascii="仿宋_GB2312" w:hAnsi="宋体" w:eastAsia="仿宋_GB2312" w:cs="宋体"/>
                <w:sz w:val="24"/>
              </w:rPr>
              <w:t>经过对文本逐句、逐条的严谨考证，本文重新梳理了标准正文的逻辑结构，并据此对全文进行了系统的修订。基于修订后的新标准正文，重新撰写了编制说明，并对主要调查内容及指标进行了深入的论证分析。详见标准正文及编制说明全文。</w:t>
            </w:r>
          </w:p>
        </w:tc>
        <w:tc>
          <w:tcPr>
            <w:tcW w:w="659" w:type="pct"/>
            <w:vAlign w:val="center"/>
          </w:tcPr>
          <w:p w14:paraId="67DF9FF0">
            <w:pPr>
              <w:jc w:val="left"/>
              <w:rPr>
                <w:rFonts w:ascii="仿宋_GB2312" w:eastAsia="仿宋_GB2312" w:cs="宋体" w:hAnsiTheme="minorEastAsia"/>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0907BB98">
            <w:pPr>
              <w:jc w:val="center"/>
              <w:rPr>
                <w:rFonts w:ascii="仿宋_GB2312" w:eastAsia="仿宋_GB2312"/>
                <w:sz w:val="24"/>
              </w:rPr>
            </w:pPr>
            <w:r>
              <w:rPr>
                <w:rFonts w:hint="eastAsia" w:ascii="仿宋_GB2312" w:eastAsia="仿宋_GB2312"/>
                <w:sz w:val="24"/>
              </w:rPr>
              <w:t>全部采纳</w:t>
            </w:r>
          </w:p>
        </w:tc>
      </w:tr>
      <w:tr w14:paraId="6112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0A8457A5">
            <w:pPr>
              <w:jc w:val="center"/>
              <w:rPr>
                <w:rFonts w:ascii="仿宋_GB2312" w:eastAsia="仿宋_GB2312" w:cs="Times New Roman" w:hAnsiTheme="minorEastAsia"/>
                <w:sz w:val="24"/>
              </w:rPr>
            </w:pPr>
            <w:r>
              <w:rPr>
                <w:rFonts w:hint="eastAsia" w:ascii="仿宋_GB2312" w:eastAsia="仿宋_GB2312" w:cs="Times New Roman" w:hAnsiTheme="minorEastAsia"/>
                <w:sz w:val="24"/>
              </w:rPr>
              <w:t>31</w:t>
            </w:r>
          </w:p>
        </w:tc>
        <w:tc>
          <w:tcPr>
            <w:tcW w:w="1366" w:type="pct"/>
            <w:vAlign w:val="center"/>
          </w:tcPr>
          <w:p w14:paraId="122302CD">
            <w:pPr>
              <w:jc w:val="center"/>
              <w:rPr>
                <w:rFonts w:ascii="仿宋_GB2312" w:hAnsi="宋体" w:eastAsia="仿宋_GB2312" w:cs="宋体"/>
                <w:sz w:val="24"/>
              </w:rPr>
            </w:pPr>
            <w:r>
              <w:rPr>
                <w:rFonts w:hint="eastAsia" w:ascii="仿宋_GB2312" w:hAnsi="宋体" w:eastAsia="仿宋_GB2312" w:cs="宋体"/>
                <w:sz w:val="24"/>
              </w:rPr>
              <w:t>详细说明调查内容部分的编制依据，通过参考其他文献或者调查调研等手段，印证调查内容的可行性</w:t>
            </w:r>
          </w:p>
        </w:tc>
        <w:tc>
          <w:tcPr>
            <w:tcW w:w="2351" w:type="pct"/>
            <w:vAlign w:val="center"/>
          </w:tcPr>
          <w:p w14:paraId="642F2C3E">
            <w:pPr>
              <w:jc w:val="center"/>
              <w:rPr>
                <w:rFonts w:ascii="仿宋_GB2312" w:hAnsi="宋体" w:eastAsia="仿宋_GB2312" w:cs="宋体"/>
                <w:sz w:val="24"/>
              </w:rPr>
            </w:pPr>
            <w:r>
              <w:rPr>
                <w:rFonts w:hint="eastAsia" w:ascii="仿宋_GB2312" w:hAnsi="宋体" w:eastAsia="仿宋_GB2312" w:cs="宋体"/>
                <w:sz w:val="24"/>
              </w:rPr>
              <w:t>本规范对文本所呈现的关键信息进行了深入的文献考证工作，采用多元化的研究方法，确保了文本内容的来源具有可追溯性。详见编制说明p10-p32页内容。</w:t>
            </w:r>
          </w:p>
        </w:tc>
        <w:tc>
          <w:tcPr>
            <w:tcW w:w="659" w:type="pct"/>
          </w:tcPr>
          <w:p w14:paraId="00C12217">
            <w:pPr>
              <w:jc w:val="left"/>
              <w:rPr>
                <w:rFonts w:ascii="仿宋_GB2312" w:eastAsia="仿宋_GB2312"/>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0C457E7C">
            <w:pPr>
              <w:jc w:val="center"/>
              <w:rPr>
                <w:rFonts w:ascii="仿宋_GB2312" w:eastAsia="仿宋_GB2312"/>
                <w:sz w:val="24"/>
              </w:rPr>
            </w:pPr>
            <w:r>
              <w:rPr>
                <w:rFonts w:hint="eastAsia" w:ascii="仿宋_GB2312" w:eastAsia="仿宋_GB2312"/>
                <w:sz w:val="24"/>
              </w:rPr>
              <w:t>全部采纳</w:t>
            </w:r>
          </w:p>
        </w:tc>
      </w:tr>
      <w:tr w14:paraId="6964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0FBDC596">
            <w:pPr>
              <w:jc w:val="center"/>
              <w:rPr>
                <w:rFonts w:ascii="仿宋_GB2312" w:eastAsia="仿宋_GB2312" w:cs="Times New Roman" w:hAnsiTheme="minorEastAsia"/>
                <w:sz w:val="24"/>
              </w:rPr>
            </w:pPr>
            <w:r>
              <w:rPr>
                <w:rFonts w:hint="eastAsia" w:ascii="仿宋_GB2312" w:eastAsia="仿宋_GB2312" w:cs="Times New Roman" w:hAnsiTheme="minorEastAsia"/>
                <w:sz w:val="24"/>
              </w:rPr>
              <w:t>32</w:t>
            </w:r>
          </w:p>
        </w:tc>
        <w:tc>
          <w:tcPr>
            <w:tcW w:w="1366" w:type="pct"/>
            <w:vAlign w:val="center"/>
          </w:tcPr>
          <w:p w14:paraId="7E51BB4B">
            <w:pPr>
              <w:jc w:val="center"/>
              <w:rPr>
                <w:rFonts w:ascii="仿宋_GB2312" w:hAnsi="宋体" w:eastAsia="仿宋_GB2312" w:cs="宋体"/>
                <w:sz w:val="24"/>
              </w:rPr>
            </w:pPr>
            <w:r>
              <w:rPr>
                <w:rFonts w:hint="eastAsia" w:ascii="仿宋_GB2312" w:hAnsi="宋体" w:eastAsia="仿宋_GB2312" w:cs="宋体"/>
                <w:sz w:val="24"/>
              </w:rPr>
              <w:t>调整规范性引用文件的顺序，按照标准的编号进行</w:t>
            </w:r>
          </w:p>
        </w:tc>
        <w:tc>
          <w:tcPr>
            <w:tcW w:w="2351" w:type="pct"/>
            <w:vAlign w:val="center"/>
          </w:tcPr>
          <w:p w14:paraId="208B281B">
            <w:pPr>
              <w:jc w:val="center"/>
              <w:rPr>
                <w:rFonts w:ascii="仿宋_GB2312" w:hAnsi="宋体" w:eastAsia="仿宋_GB2312" w:cs="宋体"/>
                <w:sz w:val="24"/>
              </w:rPr>
            </w:pPr>
            <w:r>
              <w:rPr>
                <w:rFonts w:hint="eastAsia" w:ascii="仿宋_GB2312" w:hAnsi="宋体" w:eastAsia="仿宋_GB2312" w:cs="宋体"/>
                <w:sz w:val="24"/>
              </w:rPr>
              <w:t>重新调整了第2章的规范性引用文件内容，删除了部分引用文件，调整了顺序。详见标准正文第2章内容。</w:t>
            </w:r>
          </w:p>
        </w:tc>
        <w:tc>
          <w:tcPr>
            <w:tcW w:w="659" w:type="pct"/>
          </w:tcPr>
          <w:p w14:paraId="158E5107">
            <w:pPr>
              <w:jc w:val="left"/>
              <w:rPr>
                <w:rFonts w:ascii="仿宋_GB2312" w:eastAsia="仿宋_GB2312"/>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0FC73C62">
            <w:pPr>
              <w:jc w:val="center"/>
              <w:rPr>
                <w:rFonts w:ascii="仿宋_GB2312" w:eastAsia="仿宋_GB2312"/>
                <w:sz w:val="24"/>
              </w:rPr>
            </w:pPr>
            <w:r>
              <w:rPr>
                <w:rFonts w:hint="eastAsia" w:ascii="仿宋_GB2312" w:eastAsia="仿宋_GB2312"/>
                <w:sz w:val="24"/>
              </w:rPr>
              <w:t>全部采纳</w:t>
            </w:r>
          </w:p>
        </w:tc>
      </w:tr>
      <w:tr w14:paraId="0738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43916263">
            <w:pPr>
              <w:jc w:val="center"/>
              <w:rPr>
                <w:rFonts w:ascii="仿宋_GB2312" w:eastAsia="仿宋_GB2312" w:cs="Times New Roman" w:hAnsiTheme="minorEastAsia"/>
                <w:sz w:val="24"/>
              </w:rPr>
            </w:pPr>
            <w:r>
              <w:rPr>
                <w:rFonts w:hint="eastAsia" w:ascii="仿宋_GB2312" w:eastAsia="仿宋_GB2312" w:cs="Times New Roman" w:hAnsiTheme="minorEastAsia"/>
                <w:sz w:val="24"/>
              </w:rPr>
              <w:t>33</w:t>
            </w:r>
          </w:p>
        </w:tc>
        <w:tc>
          <w:tcPr>
            <w:tcW w:w="1366" w:type="pct"/>
            <w:vAlign w:val="center"/>
          </w:tcPr>
          <w:p w14:paraId="3B783E44">
            <w:pPr>
              <w:jc w:val="center"/>
              <w:rPr>
                <w:rFonts w:ascii="仿宋_GB2312" w:hAnsi="宋体" w:eastAsia="仿宋_GB2312" w:cs="宋体"/>
                <w:sz w:val="24"/>
              </w:rPr>
            </w:pPr>
            <w:r>
              <w:rPr>
                <w:rFonts w:hint="eastAsia" w:ascii="仿宋_GB2312" w:hAnsi="宋体" w:eastAsia="仿宋_GB2312" w:cs="宋体"/>
                <w:sz w:val="24"/>
              </w:rPr>
              <w:t>总体原则部分进一步修订一下，细化原则性条款</w:t>
            </w:r>
          </w:p>
        </w:tc>
        <w:tc>
          <w:tcPr>
            <w:tcW w:w="2351" w:type="pct"/>
            <w:vAlign w:val="center"/>
          </w:tcPr>
          <w:p w14:paraId="0EF9896D">
            <w:pPr>
              <w:jc w:val="center"/>
              <w:rPr>
                <w:rFonts w:ascii="仿宋_GB2312" w:hAnsi="宋体" w:eastAsia="仿宋_GB2312" w:cs="宋体"/>
                <w:sz w:val="24"/>
              </w:rPr>
            </w:pPr>
            <w:r>
              <w:rPr>
                <w:rFonts w:hint="eastAsia" w:ascii="仿宋_GB2312" w:hAnsi="宋体" w:eastAsia="仿宋_GB2312" w:cs="宋体"/>
                <w:sz w:val="24"/>
              </w:rPr>
              <w:t>经过资料查阅，对第四章总则部分进行了重新撰写，重新整理了调查的目的、任务以及调查要求，并制作了工作流程图。详见标准正文第4章内容。</w:t>
            </w:r>
          </w:p>
        </w:tc>
        <w:tc>
          <w:tcPr>
            <w:tcW w:w="659" w:type="pct"/>
          </w:tcPr>
          <w:p w14:paraId="1619E275">
            <w:pPr>
              <w:jc w:val="left"/>
              <w:rPr>
                <w:rFonts w:ascii="仿宋_GB2312" w:eastAsia="仿宋_GB2312"/>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7A115D65">
            <w:pPr>
              <w:jc w:val="center"/>
              <w:rPr>
                <w:rFonts w:ascii="仿宋_GB2312" w:eastAsia="仿宋_GB2312"/>
                <w:sz w:val="24"/>
              </w:rPr>
            </w:pPr>
            <w:r>
              <w:rPr>
                <w:rFonts w:hint="eastAsia" w:ascii="仿宋_GB2312" w:eastAsia="仿宋_GB2312"/>
                <w:sz w:val="24"/>
              </w:rPr>
              <w:t>全部采纳</w:t>
            </w:r>
          </w:p>
        </w:tc>
      </w:tr>
      <w:tr w14:paraId="36DA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2C6B5133">
            <w:pPr>
              <w:jc w:val="center"/>
              <w:rPr>
                <w:rFonts w:ascii="仿宋_GB2312" w:eastAsia="仿宋_GB2312" w:cs="Times New Roman" w:hAnsiTheme="minorEastAsia"/>
                <w:sz w:val="24"/>
              </w:rPr>
            </w:pPr>
            <w:r>
              <w:rPr>
                <w:rFonts w:hint="eastAsia" w:ascii="仿宋_GB2312" w:eastAsia="仿宋_GB2312" w:cs="Times New Roman" w:hAnsiTheme="minorEastAsia"/>
                <w:sz w:val="24"/>
              </w:rPr>
              <w:t>34</w:t>
            </w:r>
          </w:p>
        </w:tc>
        <w:tc>
          <w:tcPr>
            <w:tcW w:w="1366" w:type="pct"/>
            <w:vAlign w:val="center"/>
          </w:tcPr>
          <w:p w14:paraId="2C16E573">
            <w:pPr>
              <w:jc w:val="center"/>
              <w:rPr>
                <w:rFonts w:ascii="仿宋_GB2312" w:hAnsi="宋体" w:eastAsia="仿宋_GB2312" w:cs="宋体"/>
                <w:sz w:val="24"/>
              </w:rPr>
            </w:pPr>
            <w:r>
              <w:rPr>
                <w:rFonts w:hint="eastAsia" w:ascii="仿宋_GB2312" w:hAnsi="宋体" w:eastAsia="仿宋_GB2312" w:cs="宋体"/>
                <w:sz w:val="24"/>
              </w:rPr>
              <w:t>重新梳理调查内容这一章节内容，仔细核实专题调查研究的作用</w:t>
            </w:r>
          </w:p>
        </w:tc>
        <w:tc>
          <w:tcPr>
            <w:tcW w:w="2351" w:type="pct"/>
            <w:vAlign w:val="center"/>
          </w:tcPr>
          <w:p w14:paraId="056D310A">
            <w:pPr>
              <w:jc w:val="center"/>
              <w:rPr>
                <w:rFonts w:ascii="仿宋_GB2312" w:hAnsi="宋体" w:eastAsia="仿宋_GB2312" w:cs="宋体"/>
                <w:sz w:val="24"/>
              </w:rPr>
            </w:pPr>
            <w:r>
              <w:rPr>
                <w:rFonts w:hint="eastAsia" w:ascii="仿宋_GB2312" w:hAnsi="宋体" w:eastAsia="仿宋_GB2312" w:cs="宋体"/>
                <w:sz w:val="24"/>
              </w:rPr>
              <w:t>对正文架构进行了优化，并对第五章的调查内容进行了重新撰写，详细审视并修订了调查的基本原则、项目及方法，并进行了充分的论证，详见标准正文5.2及编制说明p18-p24页内容。</w:t>
            </w:r>
          </w:p>
        </w:tc>
        <w:tc>
          <w:tcPr>
            <w:tcW w:w="659" w:type="pct"/>
          </w:tcPr>
          <w:p w14:paraId="48FF1251">
            <w:pPr>
              <w:jc w:val="left"/>
              <w:rPr>
                <w:rFonts w:ascii="仿宋_GB2312" w:eastAsia="仿宋_GB2312"/>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7C6E846A">
            <w:pPr>
              <w:jc w:val="center"/>
              <w:rPr>
                <w:rFonts w:ascii="仿宋_GB2312" w:eastAsia="仿宋_GB2312"/>
                <w:sz w:val="24"/>
              </w:rPr>
            </w:pPr>
            <w:r>
              <w:rPr>
                <w:rFonts w:hint="eastAsia" w:ascii="仿宋_GB2312" w:eastAsia="仿宋_GB2312"/>
                <w:sz w:val="24"/>
              </w:rPr>
              <w:t>全部采纳</w:t>
            </w:r>
          </w:p>
        </w:tc>
      </w:tr>
      <w:tr w14:paraId="0C6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03C23D6C">
            <w:pPr>
              <w:jc w:val="center"/>
              <w:rPr>
                <w:rFonts w:ascii="仿宋_GB2312" w:eastAsia="仿宋_GB2312" w:cs="Times New Roman" w:hAnsiTheme="minorEastAsia"/>
                <w:sz w:val="24"/>
              </w:rPr>
            </w:pPr>
            <w:r>
              <w:rPr>
                <w:rFonts w:hint="eastAsia" w:ascii="仿宋_GB2312" w:eastAsia="仿宋_GB2312" w:cs="Times New Roman" w:hAnsiTheme="minorEastAsia"/>
                <w:sz w:val="24"/>
              </w:rPr>
              <w:t>35</w:t>
            </w:r>
          </w:p>
        </w:tc>
        <w:tc>
          <w:tcPr>
            <w:tcW w:w="1366" w:type="pct"/>
            <w:vAlign w:val="center"/>
          </w:tcPr>
          <w:p w14:paraId="4DBB1839">
            <w:pPr>
              <w:jc w:val="left"/>
              <w:rPr>
                <w:rFonts w:ascii="仿宋_GB2312" w:eastAsia="仿宋_GB2312" w:cs="Times New Roman" w:hAnsiTheme="minorEastAsia"/>
                <w:sz w:val="24"/>
              </w:rPr>
            </w:pPr>
            <w:r>
              <w:rPr>
                <w:rFonts w:hint="eastAsia" w:ascii="仿宋_GB2312" w:eastAsia="仿宋_GB2312" w:cs="Times New Roman" w:hAnsiTheme="minorEastAsia"/>
                <w:sz w:val="24"/>
              </w:rPr>
              <w:t>结合流程图，调整部分条款顺序</w:t>
            </w:r>
          </w:p>
        </w:tc>
        <w:tc>
          <w:tcPr>
            <w:tcW w:w="2351" w:type="pct"/>
            <w:vAlign w:val="center"/>
          </w:tcPr>
          <w:p w14:paraId="1D9D2132">
            <w:pPr>
              <w:jc w:val="left"/>
              <w:rPr>
                <w:rFonts w:ascii="仿宋_GB2312" w:eastAsia="仿宋_GB2312" w:cs="Times New Roman" w:hAnsiTheme="minorEastAsia"/>
                <w:sz w:val="24"/>
              </w:rPr>
            </w:pPr>
            <w:r>
              <w:rPr>
                <w:rFonts w:hint="eastAsia" w:ascii="仿宋_GB2312" w:eastAsia="仿宋_GB2312" w:cs="Times New Roman" w:hAnsiTheme="minorEastAsia"/>
                <w:sz w:val="24"/>
              </w:rPr>
              <w:t>按照流程图席，调整了条款的顺序。</w:t>
            </w:r>
          </w:p>
        </w:tc>
        <w:tc>
          <w:tcPr>
            <w:tcW w:w="659" w:type="pct"/>
            <w:vAlign w:val="center"/>
          </w:tcPr>
          <w:p w14:paraId="300F3084">
            <w:pPr>
              <w:jc w:val="left"/>
              <w:rPr>
                <w:rFonts w:ascii="仿宋_GB2312" w:eastAsia="仿宋_GB2312" w:cs="Times New Roman" w:hAnsiTheme="minorEastAsia"/>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51C4F804">
            <w:pPr>
              <w:jc w:val="center"/>
              <w:rPr>
                <w:rFonts w:ascii="仿宋_GB2312" w:eastAsia="仿宋_GB2312"/>
                <w:sz w:val="24"/>
              </w:rPr>
            </w:pPr>
            <w:bookmarkStart w:id="73" w:name="_Toc200901187"/>
            <w:r>
              <w:rPr>
                <w:rFonts w:hint="eastAsia" w:ascii="仿宋_GB2312" w:eastAsia="仿宋_GB2312"/>
                <w:sz w:val="24"/>
              </w:rPr>
              <w:t>全部采纳</w:t>
            </w:r>
            <w:bookmarkEnd w:id="73"/>
          </w:p>
        </w:tc>
      </w:tr>
      <w:tr w14:paraId="6B0D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168919E0">
            <w:pPr>
              <w:jc w:val="center"/>
              <w:rPr>
                <w:rFonts w:ascii="仿宋_GB2312" w:eastAsia="仿宋_GB2312" w:cs="Times New Roman" w:hAnsiTheme="minorEastAsia"/>
                <w:sz w:val="24"/>
              </w:rPr>
            </w:pPr>
            <w:r>
              <w:rPr>
                <w:rFonts w:hint="eastAsia" w:ascii="仿宋_GB2312" w:eastAsia="仿宋_GB2312" w:cs="Times New Roman" w:hAnsiTheme="minorEastAsia"/>
                <w:sz w:val="24"/>
              </w:rPr>
              <w:t>36</w:t>
            </w:r>
          </w:p>
        </w:tc>
        <w:tc>
          <w:tcPr>
            <w:tcW w:w="1366" w:type="pct"/>
            <w:vAlign w:val="center"/>
          </w:tcPr>
          <w:p w14:paraId="24B266D1">
            <w:pPr>
              <w:jc w:val="left"/>
              <w:rPr>
                <w:rFonts w:ascii="仿宋_GB2312" w:eastAsia="仿宋_GB2312" w:cs="Times New Roman" w:hAnsiTheme="minorEastAsia"/>
                <w:sz w:val="24"/>
              </w:rPr>
            </w:pPr>
            <w:r>
              <w:rPr>
                <w:rFonts w:hint="eastAsia" w:ascii="仿宋_GB2312" w:eastAsia="仿宋_GB2312" w:cs="Times New Roman" w:hAnsiTheme="minorEastAsia"/>
                <w:sz w:val="24"/>
              </w:rPr>
              <w:t>4.4图放在4.4之后，修改图标题，修改表格格式及表的编号</w:t>
            </w:r>
          </w:p>
        </w:tc>
        <w:tc>
          <w:tcPr>
            <w:tcW w:w="2351" w:type="pct"/>
            <w:vAlign w:val="center"/>
          </w:tcPr>
          <w:p w14:paraId="6B1F1B7E">
            <w:pPr>
              <w:jc w:val="left"/>
              <w:rPr>
                <w:rFonts w:ascii="仿宋_GB2312" w:eastAsia="仿宋_GB2312" w:cs="Times New Roman" w:hAnsiTheme="minorEastAsia"/>
                <w:sz w:val="24"/>
              </w:rPr>
            </w:pPr>
            <w:r>
              <w:rPr>
                <w:rFonts w:hint="eastAsia" w:ascii="仿宋_GB2312" w:eastAsia="仿宋_GB2312" w:cs="Times New Roman" w:hAnsiTheme="minorEastAsia"/>
                <w:sz w:val="24"/>
              </w:rPr>
              <w:t>对标准正文进行了重新排版。</w:t>
            </w:r>
          </w:p>
        </w:tc>
        <w:tc>
          <w:tcPr>
            <w:tcW w:w="659" w:type="pct"/>
            <w:vAlign w:val="center"/>
          </w:tcPr>
          <w:p w14:paraId="236E9A20">
            <w:pPr>
              <w:jc w:val="left"/>
              <w:rPr>
                <w:rFonts w:ascii="仿宋_GB2312" w:eastAsia="仿宋_GB2312" w:cs="Times New Roman" w:hAnsiTheme="minorEastAsia"/>
                <w:sz w:val="24"/>
              </w:rPr>
            </w:pPr>
            <w:r>
              <w:rPr>
                <w:rFonts w:hint="eastAsia" w:ascii="仿宋_GB2312" w:eastAsia="仿宋_GB2312" w:cs="宋体" w:hAnsiTheme="minorEastAsia"/>
                <w:sz w:val="24"/>
              </w:rPr>
              <w:t>宁夏回族自治区标准化研究院科长、高级工程师塔娜</w:t>
            </w:r>
          </w:p>
        </w:tc>
        <w:tc>
          <w:tcPr>
            <w:tcW w:w="309" w:type="pct"/>
            <w:vAlign w:val="center"/>
          </w:tcPr>
          <w:p w14:paraId="651B8016">
            <w:pPr>
              <w:jc w:val="center"/>
              <w:rPr>
                <w:rFonts w:ascii="仿宋_GB2312" w:eastAsia="仿宋_GB2312"/>
                <w:sz w:val="24"/>
              </w:rPr>
            </w:pPr>
            <w:r>
              <w:rPr>
                <w:rFonts w:hint="eastAsia" w:ascii="仿宋_GB2312" w:eastAsia="仿宋_GB2312"/>
                <w:sz w:val="24"/>
              </w:rPr>
              <w:t>全部采纳</w:t>
            </w:r>
          </w:p>
        </w:tc>
      </w:tr>
      <w:tr w14:paraId="7EF7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0649466D">
            <w:pPr>
              <w:jc w:val="center"/>
              <w:rPr>
                <w:rFonts w:ascii="仿宋_GB2312" w:eastAsia="仿宋_GB2312" w:cs="Times New Roman" w:hAnsiTheme="minorEastAsia"/>
                <w:sz w:val="24"/>
              </w:rPr>
            </w:pPr>
            <w:r>
              <w:rPr>
                <w:rFonts w:hint="eastAsia" w:ascii="仿宋_GB2312" w:eastAsia="仿宋_GB2312" w:cs="Times New Roman" w:hAnsiTheme="minorEastAsia"/>
                <w:sz w:val="24"/>
              </w:rPr>
              <w:t>37</w:t>
            </w:r>
          </w:p>
        </w:tc>
        <w:tc>
          <w:tcPr>
            <w:tcW w:w="1366" w:type="pct"/>
            <w:vAlign w:val="center"/>
          </w:tcPr>
          <w:p w14:paraId="441F69BC">
            <w:pPr>
              <w:jc w:val="left"/>
              <w:rPr>
                <w:rFonts w:ascii="仿宋_GB2312" w:eastAsia="仿宋_GB2312" w:cs="Times New Roman" w:hAnsiTheme="minorEastAsia"/>
                <w:sz w:val="24"/>
              </w:rPr>
            </w:pPr>
            <w:r>
              <w:rPr>
                <w:rFonts w:hint="eastAsia" w:ascii="仿宋_GB2312" w:eastAsia="仿宋_GB2312" w:cs="Times New Roman" w:hAnsiTheme="minorEastAsia"/>
                <w:sz w:val="24"/>
              </w:rPr>
              <w:t>编制说明：编制说明要按照专门的模板来写。规范编制的必要性和编制依据需要完善。标准不涉及专利，相关知识产权的说明就不用了。</w:t>
            </w:r>
          </w:p>
        </w:tc>
        <w:tc>
          <w:tcPr>
            <w:tcW w:w="2351" w:type="pct"/>
            <w:vAlign w:val="center"/>
          </w:tcPr>
          <w:p w14:paraId="04283C99">
            <w:pPr>
              <w:jc w:val="left"/>
              <w:rPr>
                <w:rFonts w:ascii="仿宋_GB2312" w:eastAsia="仿宋_GB2312" w:cs="Times New Roman" w:hAnsiTheme="minorEastAsia"/>
                <w:sz w:val="24"/>
              </w:rPr>
            </w:pPr>
            <w:r>
              <w:rPr>
                <w:rFonts w:hint="eastAsia" w:ascii="仿宋_GB2312" w:eastAsia="仿宋_GB2312" w:cs="Times New Roman" w:hAnsiTheme="minorEastAsia"/>
                <w:sz w:val="24"/>
              </w:rPr>
              <w:t>使用编制说明标准模板进行了修改，对规范编制的必要性和编制依据重新进行了编写，增补了依据的法律法规等必要内容，按照条块补充了内容。删除了知识产权的不当描述。</w:t>
            </w:r>
          </w:p>
        </w:tc>
        <w:tc>
          <w:tcPr>
            <w:tcW w:w="659" w:type="pct"/>
            <w:vAlign w:val="center"/>
          </w:tcPr>
          <w:p w14:paraId="16A97142">
            <w:pPr>
              <w:jc w:val="left"/>
              <w:rPr>
                <w:rFonts w:ascii="仿宋_GB2312" w:eastAsia="仿宋_GB2312" w:cs="宋体" w:hAnsiTheme="minorEastAsia"/>
                <w:sz w:val="24"/>
              </w:rPr>
            </w:pPr>
            <w:r>
              <w:rPr>
                <w:rFonts w:hint="eastAsia" w:ascii="仿宋_GB2312" w:eastAsia="仿宋_GB2312" w:cs="宋体" w:hAnsiTheme="minorEastAsia"/>
                <w:sz w:val="24"/>
              </w:rPr>
              <w:t>宁夏回族自治区标准化研究院副院长薛蓬</w:t>
            </w:r>
          </w:p>
        </w:tc>
        <w:tc>
          <w:tcPr>
            <w:tcW w:w="309" w:type="pct"/>
            <w:vAlign w:val="center"/>
          </w:tcPr>
          <w:p w14:paraId="7D6AA2E0">
            <w:pPr>
              <w:jc w:val="center"/>
              <w:rPr>
                <w:rFonts w:ascii="仿宋_GB2312" w:eastAsia="仿宋_GB2312"/>
                <w:sz w:val="24"/>
              </w:rPr>
            </w:pPr>
            <w:r>
              <w:rPr>
                <w:rFonts w:hint="eastAsia" w:ascii="仿宋_GB2312" w:eastAsia="仿宋_GB2312"/>
                <w:sz w:val="24"/>
              </w:rPr>
              <w:t>全部采纳</w:t>
            </w:r>
          </w:p>
        </w:tc>
      </w:tr>
      <w:tr w14:paraId="0479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74BEA052">
            <w:pPr>
              <w:jc w:val="center"/>
              <w:rPr>
                <w:rFonts w:ascii="仿宋_GB2312" w:eastAsia="仿宋_GB2312" w:cs="Times New Roman" w:hAnsiTheme="minorEastAsia"/>
                <w:sz w:val="24"/>
              </w:rPr>
            </w:pPr>
            <w:r>
              <w:rPr>
                <w:rFonts w:hint="eastAsia" w:ascii="仿宋_GB2312" w:eastAsia="仿宋_GB2312" w:cs="Times New Roman" w:hAnsiTheme="minorEastAsia"/>
                <w:sz w:val="24"/>
              </w:rPr>
              <w:t>38</w:t>
            </w:r>
          </w:p>
        </w:tc>
        <w:tc>
          <w:tcPr>
            <w:tcW w:w="1366" w:type="pct"/>
            <w:vAlign w:val="center"/>
          </w:tcPr>
          <w:p w14:paraId="50195D8D">
            <w:pPr>
              <w:jc w:val="left"/>
              <w:rPr>
                <w:rFonts w:ascii="仿宋_GB2312" w:eastAsia="仿宋_GB2312" w:cs="Times New Roman" w:hAnsiTheme="minorEastAsia"/>
                <w:sz w:val="24"/>
              </w:rPr>
            </w:pPr>
            <w:r>
              <w:rPr>
                <w:rFonts w:hint="eastAsia" w:ascii="仿宋_GB2312" w:eastAsia="仿宋_GB2312" w:cs="Times New Roman" w:hAnsiTheme="minorEastAsia"/>
                <w:sz w:val="24"/>
              </w:rPr>
              <w:t>标准正文：前言，本文件由宁夏回族自治区生态环境厅提出归口并组织实施，要强调它的使用。范围，把后面的章节号名称放上来。要求性条款，推荐性条款，指示性条款，各种条款的表示类型表示方法统一。按照GB/T 1526-1989制作流程图和项目表。调查项目按照介质划分。水体下分类设成条。测量及采样分析方法做成表格。参考文献要带年代号。</w:t>
            </w:r>
          </w:p>
        </w:tc>
        <w:tc>
          <w:tcPr>
            <w:tcW w:w="2351" w:type="pct"/>
            <w:vAlign w:val="center"/>
          </w:tcPr>
          <w:p w14:paraId="7826DC7C">
            <w:pPr>
              <w:jc w:val="left"/>
              <w:rPr>
                <w:rFonts w:ascii="仿宋_GB2312" w:eastAsia="仿宋_GB2312" w:cs="Times New Roman" w:hAnsiTheme="minorEastAsia"/>
                <w:sz w:val="24"/>
              </w:rPr>
            </w:pPr>
            <w:r>
              <w:rPr>
                <w:rFonts w:hint="eastAsia" w:ascii="仿宋_GB2312" w:eastAsia="仿宋_GB2312" w:cs="Times New Roman" w:hAnsiTheme="minorEastAsia"/>
                <w:sz w:val="24"/>
              </w:rPr>
              <w:t>按照GB/T 1.1—2020《标准化工作导则  第1部分：标准化文件的结构和起草规则》和GB/T 1526-1989《信息处理 数据流程图、程序流程图、系统流程图、程序网络图和系统资源图的文件编制符号及约定》的规定重新编排了正文，对正文中错误的内容进行了修改完善。</w:t>
            </w:r>
          </w:p>
        </w:tc>
        <w:tc>
          <w:tcPr>
            <w:tcW w:w="659" w:type="pct"/>
            <w:vAlign w:val="center"/>
          </w:tcPr>
          <w:p w14:paraId="05E58154">
            <w:pPr>
              <w:jc w:val="left"/>
              <w:rPr>
                <w:rFonts w:ascii="仿宋_GB2312" w:eastAsia="仿宋_GB2312" w:cs="宋体" w:hAnsiTheme="minorEastAsia"/>
                <w:sz w:val="24"/>
              </w:rPr>
            </w:pPr>
            <w:r>
              <w:rPr>
                <w:rFonts w:hint="eastAsia" w:ascii="仿宋_GB2312" w:eastAsia="仿宋_GB2312" w:cs="宋体" w:hAnsiTheme="minorEastAsia"/>
                <w:sz w:val="24"/>
              </w:rPr>
              <w:t>宁夏回族自治区标准化研究院副院长薛蓬</w:t>
            </w:r>
          </w:p>
        </w:tc>
        <w:tc>
          <w:tcPr>
            <w:tcW w:w="309" w:type="pct"/>
            <w:vAlign w:val="center"/>
          </w:tcPr>
          <w:p w14:paraId="509F25CB">
            <w:pPr>
              <w:jc w:val="center"/>
              <w:rPr>
                <w:rFonts w:ascii="仿宋_GB2312" w:eastAsia="仿宋_GB2312"/>
                <w:sz w:val="24"/>
              </w:rPr>
            </w:pPr>
            <w:r>
              <w:rPr>
                <w:rFonts w:hint="eastAsia" w:ascii="仿宋_GB2312" w:eastAsia="仿宋_GB2312"/>
                <w:sz w:val="24"/>
              </w:rPr>
              <w:t>全部采纳</w:t>
            </w:r>
          </w:p>
        </w:tc>
      </w:tr>
      <w:tr w14:paraId="100B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4BAF120D">
            <w:pPr>
              <w:jc w:val="center"/>
              <w:rPr>
                <w:rFonts w:ascii="仿宋_GB2312" w:eastAsia="仿宋_GB2312" w:cs="Times New Roman" w:hAnsiTheme="minorEastAsia"/>
                <w:sz w:val="24"/>
              </w:rPr>
            </w:pPr>
            <w:r>
              <w:rPr>
                <w:rFonts w:hint="eastAsia" w:ascii="仿宋_GB2312" w:eastAsia="仿宋_GB2312" w:cs="Times New Roman" w:hAnsiTheme="minorEastAsia"/>
                <w:sz w:val="24"/>
              </w:rPr>
              <w:t>39</w:t>
            </w:r>
          </w:p>
        </w:tc>
        <w:tc>
          <w:tcPr>
            <w:tcW w:w="1366" w:type="pct"/>
            <w:vAlign w:val="center"/>
          </w:tcPr>
          <w:p w14:paraId="16546B52">
            <w:pPr>
              <w:jc w:val="left"/>
              <w:rPr>
                <w:rFonts w:ascii="仿宋_GB2312" w:eastAsia="仿宋_GB2312" w:cs="Times New Roman" w:hAnsiTheme="minorEastAsia"/>
                <w:sz w:val="24"/>
              </w:rPr>
            </w:pPr>
            <w:r>
              <w:rPr>
                <w:rFonts w:hint="eastAsia" w:ascii="仿宋_GB2312" w:eastAsia="仿宋_GB2312" w:cs="Times New Roman" w:hAnsiTheme="minorEastAsia"/>
                <w:sz w:val="24"/>
              </w:rPr>
              <w:t>编制说明：编制说明局部我们还需要修改，再细化一下，详实一点。第33页测量及采样分析方法中到底是参照还是按照还是有点区别的，如果监测对象完全在这个监测方法适用范围内，要用按照。不完全在方法适用范围内，只能用参照。</w:t>
            </w:r>
          </w:p>
        </w:tc>
        <w:tc>
          <w:tcPr>
            <w:tcW w:w="2351" w:type="pct"/>
            <w:vAlign w:val="center"/>
          </w:tcPr>
          <w:p w14:paraId="3FA5E029">
            <w:pPr>
              <w:jc w:val="left"/>
              <w:rPr>
                <w:rFonts w:ascii="仿宋_GB2312" w:eastAsia="仿宋_GB2312" w:cs="Times New Roman" w:hAnsiTheme="minorEastAsia"/>
                <w:sz w:val="24"/>
              </w:rPr>
            </w:pPr>
            <w:r>
              <w:rPr>
                <w:rFonts w:hint="eastAsia" w:ascii="仿宋_GB2312" w:eastAsia="仿宋_GB2312" w:cs="Times New Roman" w:hAnsiTheme="minorEastAsia"/>
                <w:sz w:val="24"/>
              </w:rPr>
              <w:t>优化了编制说明的内容，二、制定(修订)标准的必要性和意义、四、编制原则和依据，与现行法律、法规、标准的关系均按要求进行了内容补充和修订，增补了五、（二）主要技术指标、参数、试验验证的论述和五、（三）标准实施效益与技术经济分析内容。对全文进行了梳理，对使用不恰当的词汇做了修改。</w:t>
            </w:r>
          </w:p>
        </w:tc>
        <w:tc>
          <w:tcPr>
            <w:tcW w:w="659" w:type="pct"/>
            <w:vAlign w:val="center"/>
          </w:tcPr>
          <w:p w14:paraId="599567A6">
            <w:pPr>
              <w:jc w:val="left"/>
              <w:rPr>
                <w:rFonts w:ascii="仿宋_GB2312" w:eastAsia="仿宋_GB2312" w:cs="宋体" w:hAnsiTheme="minorEastAsia"/>
                <w:sz w:val="24"/>
              </w:rPr>
            </w:pPr>
            <w:r>
              <w:rPr>
                <w:rFonts w:hint="eastAsia" w:ascii="仿宋_GB2312" w:eastAsia="仿宋_GB2312" w:cs="宋体" w:hAnsiTheme="minorEastAsia"/>
                <w:sz w:val="24"/>
              </w:rPr>
              <w:t>上海市辐射环境安全技术中心综合业务科副科长、高级工程师葛元新</w:t>
            </w:r>
          </w:p>
        </w:tc>
        <w:tc>
          <w:tcPr>
            <w:tcW w:w="309" w:type="pct"/>
            <w:vAlign w:val="center"/>
          </w:tcPr>
          <w:p w14:paraId="53B63494">
            <w:pPr>
              <w:jc w:val="center"/>
              <w:rPr>
                <w:rFonts w:ascii="仿宋_GB2312" w:eastAsia="仿宋_GB2312"/>
                <w:sz w:val="24"/>
              </w:rPr>
            </w:pPr>
            <w:r>
              <w:rPr>
                <w:rFonts w:hint="eastAsia" w:ascii="仿宋_GB2312" w:eastAsia="仿宋_GB2312"/>
                <w:sz w:val="24"/>
              </w:rPr>
              <w:t>全部采纳</w:t>
            </w:r>
          </w:p>
        </w:tc>
      </w:tr>
      <w:tr w14:paraId="4051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35883D67">
            <w:pPr>
              <w:jc w:val="center"/>
              <w:rPr>
                <w:rFonts w:ascii="仿宋_GB2312" w:eastAsia="仿宋_GB2312" w:cs="Times New Roman" w:hAnsiTheme="minorEastAsia"/>
                <w:sz w:val="24"/>
              </w:rPr>
            </w:pPr>
            <w:r>
              <w:rPr>
                <w:rFonts w:hint="eastAsia" w:ascii="仿宋_GB2312" w:eastAsia="仿宋_GB2312" w:cs="Times New Roman" w:hAnsiTheme="minorEastAsia"/>
                <w:sz w:val="24"/>
              </w:rPr>
              <w:t>40</w:t>
            </w:r>
          </w:p>
        </w:tc>
        <w:tc>
          <w:tcPr>
            <w:tcW w:w="1366" w:type="pct"/>
            <w:vAlign w:val="center"/>
          </w:tcPr>
          <w:p w14:paraId="46A86718">
            <w:pPr>
              <w:jc w:val="left"/>
              <w:rPr>
                <w:rFonts w:ascii="仿宋_GB2312" w:eastAsia="仿宋_GB2312" w:cs="Times New Roman" w:hAnsiTheme="minorEastAsia"/>
                <w:sz w:val="24"/>
              </w:rPr>
            </w:pPr>
            <w:r>
              <w:rPr>
                <w:rFonts w:hint="eastAsia" w:ascii="仿宋_GB2312" w:eastAsia="仿宋_GB2312" w:cs="Times New Roman" w:hAnsiTheme="minorEastAsia"/>
                <w:sz w:val="24"/>
              </w:rPr>
              <w:t>标准正文：4.3中对有价值的放射性异常情况可以推荐给有关部门开展进一步调研工作，应修改为告知相关部门。描述规范和严谨性方面，还需要完善一下，如伽马能谱是比较口语化的表述，应该叫伽马放射性核素，氡浓度应该叫氡，总α总β应该叫总α放射性和总β放射性，异常怎么定义？生物调查中建议增加牧草野生草或牛羊奶调查项目，增加放射性核素的指示生物，如松叶、艾蒿、苔藓、菌菇等，各种生物什么季节采样调查，现场采样如何预处理，如何保存，应该明确规定。</w:t>
            </w:r>
          </w:p>
        </w:tc>
        <w:tc>
          <w:tcPr>
            <w:tcW w:w="2351" w:type="pct"/>
            <w:vAlign w:val="center"/>
          </w:tcPr>
          <w:p w14:paraId="4587D2EB">
            <w:pPr>
              <w:jc w:val="left"/>
              <w:rPr>
                <w:rFonts w:ascii="仿宋_GB2312" w:eastAsia="仿宋_GB2312" w:cs="Times New Roman" w:hAnsiTheme="minorEastAsia"/>
                <w:sz w:val="24"/>
              </w:rPr>
            </w:pPr>
            <w:r>
              <w:rPr>
                <w:rFonts w:hint="eastAsia" w:ascii="仿宋_GB2312" w:eastAsia="仿宋_GB2312" w:cs="Times New Roman" w:hAnsiTheme="minorEastAsia"/>
                <w:sz w:val="24"/>
              </w:rPr>
              <w:t>按专家意见，4.3中将不恰当的词汇和用语进行了修改。使用γ能谱、总α总β的表述的原因是HJ 61中即是如此表述，本标准与HJ 61保持一致，但是对氡的表述按意见进行了调整。</w:t>
            </w:r>
          </w:p>
          <w:p w14:paraId="06B35AFD">
            <w:pPr>
              <w:jc w:val="left"/>
              <w:rPr>
                <w:rFonts w:ascii="仿宋_GB2312" w:eastAsia="仿宋_GB2312" w:cs="Times New Roman" w:hAnsiTheme="minorEastAsia"/>
                <w:sz w:val="24"/>
              </w:rPr>
            </w:pPr>
            <w:r>
              <w:rPr>
                <w:rFonts w:hint="eastAsia" w:ascii="仿宋_GB2312" w:eastAsia="仿宋_GB2312" w:cs="Times New Roman" w:hAnsiTheme="minorEastAsia"/>
                <w:sz w:val="24"/>
              </w:rPr>
              <w:t>放射性异常，6.3.2土壤中小节中γ辐射空气吸收剂量率异常，增加了异常定义：超过周围地区剂量率水平一倍以上。</w:t>
            </w:r>
          </w:p>
          <w:p w14:paraId="29B658AE">
            <w:pPr>
              <w:jc w:val="left"/>
              <w:rPr>
                <w:rFonts w:ascii="仿宋_GB2312" w:eastAsia="仿宋_GB2312" w:cs="Times New Roman" w:hAnsiTheme="minorEastAsia"/>
                <w:sz w:val="24"/>
              </w:rPr>
            </w:pPr>
            <w:r>
              <w:rPr>
                <w:rFonts w:hint="eastAsia" w:ascii="仿宋_GB2312" w:eastAsia="仿宋_GB2312" w:cs="Times New Roman" w:hAnsiTheme="minorEastAsia"/>
                <w:sz w:val="24"/>
              </w:rPr>
              <w:t>生物调查中增补了牧草；考虑到牛羊奶调查的难度，未增加牛羊奶调查。增补了指示生物的内容，综合考虑各类生物样品的取样难度，设定了取样时间限制。</w:t>
            </w:r>
          </w:p>
        </w:tc>
        <w:tc>
          <w:tcPr>
            <w:tcW w:w="659" w:type="pct"/>
            <w:vAlign w:val="center"/>
          </w:tcPr>
          <w:p w14:paraId="5374CA99">
            <w:pPr>
              <w:jc w:val="left"/>
              <w:rPr>
                <w:rFonts w:ascii="仿宋_GB2312" w:eastAsia="仿宋_GB2312" w:cs="宋体" w:hAnsiTheme="minorEastAsia"/>
                <w:sz w:val="24"/>
              </w:rPr>
            </w:pPr>
            <w:r>
              <w:rPr>
                <w:rFonts w:hint="eastAsia" w:ascii="仿宋_GB2312" w:eastAsia="仿宋_GB2312" w:cs="宋体" w:hAnsiTheme="minorEastAsia"/>
                <w:sz w:val="24"/>
              </w:rPr>
              <w:t>上海市辐射环境安全技术中心综合业务科副科长、高级工程师葛元新</w:t>
            </w:r>
          </w:p>
        </w:tc>
        <w:tc>
          <w:tcPr>
            <w:tcW w:w="309" w:type="pct"/>
            <w:vAlign w:val="center"/>
          </w:tcPr>
          <w:p w14:paraId="428D430C">
            <w:pPr>
              <w:jc w:val="center"/>
              <w:rPr>
                <w:rFonts w:ascii="仿宋_GB2312" w:eastAsia="仿宋_GB2312"/>
                <w:sz w:val="24"/>
              </w:rPr>
            </w:pPr>
            <w:r>
              <w:rPr>
                <w:rFonts w:hint="eastAsia" w:ascii="仿宋_GB2312" w:eastAsia="仿宋_GB2312"/>
                <w:sz w:val="24"/>
              </w:rPr>
              <w:t>部分采纳</w:t>
            </w:r>
          </w:p>
        </w:tc>
      </w:tr>
      <w:tr w14:paraId="283D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23E44548">
            <w:pPr>
              <w:jc w:val="center"/>
              <w:rPr>
                <w:rFonts w:ascii="仿宋_GB2312" w:eastAsia="仿宋_GB2312" w:cs="Times New Roman" w:hAnsiTheme="minorEastAsia"/>
                <w:sz w:val="24"/>
              </w:rPr>
            </w:pPr>
            <w:r>
              <w:rPr>
                <w:rFonts w:hint="eastAsia" w:ascii="仿宋_GB2312" w:eastAsia="仿宋_GB2312" w:cs="Times New Roman" w:hAnsiTheme="minorEastAsia"/>
                <w:sz w:val="24"/>
              </w:rPr>
              <w:t>41</w:t>
            </w:r>
          </w:p>
        </w:tc>
        <w:tc>
          <w:tcPr>
            <w:tcW w:w="1366" w:type="pct"/>
            <w:vAlign w:val="center"/>
          </w:tcPr>
          <w:p w14:paraId="0742900F">
            <w:pPr>
              <w:jc w:val="left"/>
              <w:rPr>
                <w:rFonts w:ascii="仿宋_GB2312" w:eastAsia="仿宋_GB2312" w:cs="Times New Roman" w:hAnsiTheme="minorEastAsia"/>
                <w:sz w:val="24"/>
              </w:rPr>
            </w:pPr>
            <w:r>
              <w:rPr>
                <w:rFonts w:hint="eastAsia" w:ascii="仿宋_GB2312" w:eastAsia="仿宋_GB2312" w:cs="Times New Roman" w:hAnsiTheme="minorEastAsia"/>
                <w:sz w:val="24"/>
              </w:rPr>
              <w:t>编制说明：要把内部专家征求的意见列个表回复。编制说明里面各种引用，做个表格用文字对应描述。</w:t>
            </w:r>
          </w:p>
        </w:tc>
        <w:tc>
          <w:tcPr>
            <w:tcW w:w="2351" w:type="pct"/>
            <w:vAlign w:val="center"/>
          </w:tcPr>
          <w:p w14:paraId="1F9D4C12">
            <w:pPr>
              <w:jc w:val="left"/>
              <w:rPr>
                <w:rFonts w:ascii="仿宋_GB2312" w:eastAsia="仿宋_GB2312" w:cs="Times New Roman" w:hAnsiTheme="minorEastAsia"/>
                <w:sz w:val="24"/>
              </w:rPr>
            </w:pPr>
            <w:r>
              <w:rPr>
                <w:rFonts w:hint="eastAsia" w:ascii="仿宋_GB2312" w:eastAsia="仿宋_GB2312" w:cs="Times New Roman" w:hAnsiTheme="minorEastAsia"/>
                <w:sz w:val="24"/>
              </w:rPr>
              <w:t>补充了内部专家征求意见，并列表做出回复，对是否采纳做出了解释说明。对编制说明中各类可以列表的引用，尽可能使用表格进行准确描述。</w:t>
            </w:r>
          </w:p>
        </w:tc>
        <w:tc>
          <w:tcPr>
            <w:tcW w:w="659" w:type="pct"/>
            <w:vAlign w:val="center"/>
          </w:tcPr>
          <w:p w14:paraId="707BFFFD">
            <w:pPr>
              <w:jc w:val="left"/>
              <w:rPr>
                <w:rFonts w:ascii="仿宋_GB2312" w:eastAsia="仿宋_GB2312" w:cs="宋体" w:hAnsiTheme="minorEastAsia"/>
                <w:sz w:val="24"/>
              </w:rPr>
            </w:pPr>
            <w:r>
              <w:rPr>
                <w:rFonts w:hint="eastAsia" w:ascii="仿宋_GB2312" w:eastAsia="仿宋_GB2312" w:cs="宋体" w:hAnsiTheme="minorEastAsia"/>
                <w:sz w:val="24"/>
              </w:rPr>
              <w:t>安徽省辐射环境监督站副站长、高级工程师於国兵</w:t>
            </w:r>
          </w:p>
        </w:tc>
        <w:tc>
          <w:tcPr>
            <w:tcW w:w="309" w:type="pct"/>
            <w:vAlign w:val="center"/>
          </w:tcPr>
          <w:p w14:paraId="6018889D">
            <w:pPr>
              <w:jc w:val="center"/>
              <w:rPr>
                <w:rFonts w:ascii="仿宋_GB2312" w:eastAsia="仿宋_GB2312"/>
                <w:sz w:val="24"/>
              </w:rPr>
            </w:pPr>
            <w:r>
              <w:rPr>
                <w:rFonts w:hint="eastAsia" w:ascii="仿宋_GB2312" w:eastAsia="仿宋_GB2312"/>
                <w:sz w:val="24"/>
              </w:rPr>
              <w:t>全部采纳</w:t>
            </w:r>
          </w:p>
        </w:tc>
      </w:tr>
      <w:tr w14:paraId="6667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6A6ED012">
            <w:pPr>
              <w:jc w:val="center"/>
              <w:rPr>
                <w:rFonts w:ascii="仿宋_GB2312" w:eastAsia="仿宋_GB2312" w:cs="Times New Roman" w:hAnsiTheme="minorEastAsia"/>
                <w:sz w:val="24"/>
              </w:rPr>
            </w:pPr>
            <w:r>
              <w:rPr>
                <w:rFonts w:hint="eastAsia" w:ascii="仿宋_GB2312" w:eastAsia="仿宋_GB2312" w:cs="Times New Roman" w:hAnsiTheme="minorEastAsia"/>
                <w:sz w:val="24"/>
              </w:rPr>
              <w:t>42</w:t>
            </w:r>
          </w:p>
        </w:tc>
        <w:tc>
          <w:tcPr>
            <w:tcW w:w="1366" w:type="pct"/>
            <w:vAlign w:val="center"/>
          </w:tcPr>
          <w:p w14:paraId="383142E4">
            <w:pPr>
              <w:jc w:val="left"/>
              <w:rPr>
                <w:rFonts w:ascii="仿宋_GB2312" w:eastAsia="仿宋_GB2312" w:cs="Times New Roman" w:hAnsiTheme="minorEastAsia"/>
                <w:sz w:val="24"/>
              </w:rPr>
            </w:pPr>
            <w:r>
              <w:rPr>
                <w:rFonts w:hint="eastAsia" w:ascii="仿宋_GB2312" w:eastAsia="仿宋_GB2312" w:cs="Times New Roman" w:hAnsiTheme="minorEastAsia"/>
                <w:sz w:val="24"/>
              </w:rPr>
              <w:t>标准正文：建议考虑名称中辐射环境还是放射性环境哪个更合适。3.4中氡浓度建议不要单列术语。水中氡在自然环境中不确定度多大，检测意义不大，建议删除水中氡。自来水是饮用水，监测方法、评价都有专门的体系，建议不要涉及。作为调查规范，建议增加一些新的方法和手段，比如说车载的船载的和航空测量系统，能不能去使用，怎么使用，可以简单描述一下。</w:t>
            </w:r>
          </w:p>
        </w:tc>
        <w:tc>
          <w:tcPr>
            <w:tcW w:w="2351" w:type="pct"/>
            <w:vAlign w:val="center"/>
          </w:tcPr>
          <w:p w14:paraId="54E00470">
            <w:pPr>
              <w:jc w:val="left"/>
              <w:rPr>
                <w:rFonts w:ascii="仿宋_GB2312" w:eastAsia="仿宋_GB2312" w:cs="Times New Roman" w:hAnsiTheme="minorEastAsia"/>
                <w:sz w:val="24"/>
              </w:rPr>
            </w:pPr>
            <w:r>
              <w:rPr>
                <w:rFonts w:hint="eastAsia" w:ascii="仿宋_GB2312" w:eastAsia="仿宋_GB2312" w:cs="Times New Roman" w:hAnsiTheme="minorEastAsia"/>
                <w:sz w:val="24"/>
              </w:rPr>
              <w:t>综合考虑还是放射性环境作为名称。3.4中氡浓度已经调整到各类环境介质条目下，不再单列。删除了水中氡的检测。删除了自来水，补充了水源地内容。本标准具体测量和采样方法是按照相关国家和行业标准，如果相关标准中有车载的船载的和航空测量的内容规定，可直接使用，本标准未做任何限制，本标准支持在调查工作中使用最新和最优的手段方法。</w:t>
            </w:r>
          </w:p>
        </w:tc>
        <w:tc>
          <w:tcPr>
            <w:tcW w:w="659" w:type="pct"/>
            <w:vAlign w:val="center"/>
          </w:tcPr>
          <w:p w14:paraId="31170DD6">
            <w:pPr>
              <w:jc w:val="left"/>
              <w:rPr>
                <w:rFonts w:ascii="仿宋_GB2312" w:eastAsia="仿宋_GB2312" w:cs="宋体" w:hAnsiTheme="minorEastAsia"/>
                <w:sz w:val="24"/>
              </w:rPr>
            </w:pPr>
            <w:r>
              <w:rPr>
                <w:rFonts w:hint="eastAsia" w:ascii="仿宋_GB2312" w:eastAsia="仿宋_GB2312" w:cs="宋体" w:hAnsiTheme="minorEastAsia"/>
                <w:sz w:val="24"/>
              </w:rPr>
              <w:t>安徽省辐射环境监督站副站长、高级工程师於国兵</w:t>
            </w:r>
          </w:p>
        </w:tc>
        <w:tc>
          <w:tcPr>
            <w:tcW w:w="309" w:type="pct"/>
            <w:vAlign w:val="center"/>
          </w:tcPr>
          <w:p w14:paraId="5C7A99B7">
            <w:pPr>
              <w:jc w:val="center"/>
              <w:rPr>
                <w:rFonts w:ascii="仿宋_GB2312" w:eastAsia="仿宋_GB2312"/>
                <w:sz w:val="24"/>
              </w:rPr>
            </w:pPr>
            <w:r>
              <w:rPr>
                <w:rFonts w:hint="eastAsia" w:ascii="仿宋_GB2312" w:eastAsia="仿宋_GB2312"/>
                <w:sz w:val="24"/>
              </w:rPr>
              <w:t>全部采纳</w:t>
            </w:r>
          </w:p>
        </w:tc>
      </w:tr>
      <w:tr w14:paraId="7173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24557B3E">
            <w:pPr>
              <w:jc w:val="center"/>
              <w:rPr>
                <w:rFonts w:ascii="仿宋_GB2312" w:eastAsia="仿宋_GB2312" w:cs="Times New Roman" w:hAnsiTheme="minorEastAsia"/>
                <w:sz w:val="24"/>
              </w:rPr>
            </w:pPr>
            <w:r>
              <w:rPr>
                <w:rFonts w:hint="eastAsia" w:ascii="仿宋_GB2312" w:eastAsia="仿宋_GB2312" w:cs="Times New Roman" w:hAnsiTheme="minorEastAsia"/>
                <w:sz w:val="24"/>
              </w:rPr>
              <w:t>43</w:t>
            </w:r>
          </w:p>
        </w:tc>
        <w:tc>
          <w:tcPr>
            <w:tcW w:w="1366" w:type="pct"/>
            <w:vAlign w:val="center"/>
          </w:tcPr>
          <w:p w14:paraId="7E65D1A3">
            <w:pPr>
              <w:jc w:val="left"/>
              <w:rPr>
                <w:rFonts w:ascii="仿宋_GB2312" w:eastAsia="仿宋_GB2312" w:cs="Times New Roman" w:hAnsiTheme="minorEastAsia"/>
                <w:sz w:val="24"/>
              </w:rPr>
            </w:pPr>
            <w:r>
              <w:rPr>
                <w:rFonts w:hint="eastAsia" w:ascii="仿宋_GB2312" w:eastAsia="仿宋_GB2312" w:cs="Times New Roman" w:hAnsiTheme="minorEastAsia"/>
                <w:sz w:val="24"/>
              </w:rPr>
              <w:t>建议规范性引用文件参考文献中增加相关的规范与标准</w:t>
            </w:r>
          </w:p>
        </w:tc>
        <w:tc>
          <w:tcPr>
            <w:tcW w:w="2351" w:type="pct"/>
            <w:vAlign w:val="center"/>
          </w:tcPr>
          <w:p w14:paraId="23284B6F">
            <w:pPr>
              <w:jc w:val="left"/>
              <w:rPr>
                <w:rFonts w:ascii="仿宋_GB2312" w:eastAsia="仿宋_GB2312" w:cs="Times New Roman" w:hAnsiTheme="minorEastAsia"/>
                <w:sz w:val="24"/>
              </w:rPr>
            </w:pPr>
            <w:r>
              <w:rPr>
                <w:rFonts w:hint="eastAsia" w:ascii="仿宋_GB2312" w:eastAsia="仿宋_GB2312" w:cs="Times New Roman" w:hAnsiTheme="minorEastAsia"/>
                <w:sz w:val="24"/>
              </w:rPr>
              <w:t>重新审定了标准引用文件和参考文献。</w:t>
            </w:r>
          </w:p>
        </w:tc>
        <w:tc>
          <w:tcPr>
            <w:tcW w:w="659" w:type="pct"/>
            <w:vAlign w:val="center"/>
          </w:tcPr>
          <w:p w14:paraId="5BE2A67B">
            <w:pPr>
              <w:jc w:val="left"/>
              <w:rPr>
                <w:rFonts w:ascii="仿宋_GB2312" w:eastAsia="仿宋_GB2312" w:cs="Times New Roman" w:hAnsiTheme="minorEastAsia"/>
                <w:sz w:val="24"/>
              </w:rPr>
            </w:pPr>
            <w:r>
              <w:rPr>
                <w:rFonts w:hint="eastAsia" w:ascii="仿宋_GB2312" w:eastAsia="仿宋_GB2312" w:cs="Times New Roman" w:hAnsiTheme="minorEastAsia"/>
                <w:sz w:val="24"/>
              </w:rPr>
              <w:t>宁夏回族自治区国土资源调查监测院</w:t>
            </w:r>
          </w:p>
        </w:tc>
        <w:tc>
          <w:tcPr>
            <w:tcW w:w="309" w:type="pct"/>
            <w:vAlign w:val="center"/>
          </w:tcPr>
          <w:p w14:paraId="2119AFA0">
            <w:pPr>
              <w:jc w:val="center"/>
              <w:rPr>
                <w:rFonts w:ascii="仿宋_GB2312" w:eastAsia="仿宋_GB2312" w:cs="Times New Roman" w:hAnsiTheme="minorEastAsia"/>
                <w:sz w:val="24"/>
              </w:rPr>
            </w:pPr>
            <w:r>
              <w:rPr>
                <w:rFonts w:hint="eastAsia" w:ascii="仿宋_GB2312" w:eastAsia="仿宋_GB2312" w:cs="Times New Roman" w:hAnsiTheme="minorEastAsia"/>
                <w:sz w:val="24"/>
              </w:rPr>
              <w:t>全部采纳</w:t>
            </w:r>
          </w:p>
        </w:tc>
      </w:tr>
      <w:tr w14:paraId="769A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Align w:val="center"/>
          </w:tcPr>
          <w:p w14:paraId="36895135">
            <w:pPr>
              <w:jc w:val="center"/>
              <w:rPr>
                <w:rFonts w:ascii="仿宋_GB2312" w:eastAsia="仿宋_GB2312" w:cs="Times New Roman" w:hAnsiTheme="minorEastAsia"/>
                <w:sz w:val="24"/>
              </w:rPr>
            </w:pPr>
            <w:r>
              <w:rPr>
                <w:rFonts w:hint="eastAsia" w:ascii="仿宋_GB2312" w:eastAsia="仿宋_GB2312" w:cs="Times New Roman" w:hAnsiTheme="minorEastAsia"/>
                <w:sz w:val="24"/>
              </w:rPr>
              <w:t>4</w:t>
            </w:r>
            <w:r>
              <w:rPr>
                <w:rFonts w:ascii="仿宋_GB2312" w:eastAsia="仿宋_GB2312" w:cs="Times New Roman" w:hAnsiTheme="minorEastAsia"/>
                <w:sz w:val="24"/>
              </w:rPr>
              <w:t>4</w:t>
            </w:r>
          </w:p>
        </w:tc>
        <w:tc>
          <w:tcPr>
            <w:tcW w:w="1366" w:type="pct"/>
            <w:vAlign w:val="center"/>
          </w:tcPr>
          <w:p w14:paraId="25EAEE99">
            <w:pPr>
              <w:jc w:val="left"/>
              <w:rPr>
                <w:rFonts w:ascii="仿宋_GB2312" w:eastAsia="仿宋_GB2312" w:cs="Times New Roman" w:hAnsiTheme="minorEastAsia"/>
                <w:sz w:val="24"/>
              </w:rPr>
            </w:pPr>
            <w:r>
              <w:rPr>
                <w:rFonts w:hint="eastAsia" w:ascii="仿宋_GB2312" w:eastAsia="仿宋_GB2312" w:cs="Times New Roman" w:hAnsiTheme="minorEastAsia"/>
                <w:sz w:val="24"/>
              </w:rPr>
              <w:t>标准正文：1.请核实“规范性引用文件”是否仅包含HJ61；2.是否需要对环境敏感目标进行评估，如果需要评估如何开展；</w:t>
            </w:r>
          </w:p>
          <w:p w14:paraId="4CFD377E">
            <w:pPr>
              <w:jc w:val="left"/>
              <w:rPr>
                <w:rFonts w:ascii="仿宋_GB2312" w:eastAsia="仿宋_GB2312" w:cs="Times New Roman" w:hAnsiTheme="minorEastAsia"/>
                <w:sz w:val="24"/>
              </w:rPr>
            </w:pPr>
            <w:r>
              <w:rPr>
                <w:rFonts w:hint="eastAsia" w:ascii="仿宋_GB2312" w:eastAsia="仿宋_GB2312" w:cs="Times New Roman" w:hAnsiTheme="minorEastAsia"/>
                <w:sz w:val="24"/>
              </w:rPr>
              <w:t>3.请确认天然放射性环境调查的工作程序图“现场检测及采样分析”是否用判断框；4.“6.1.1”中是否要规定采用“北斗”设备，请核实；5.“6.1.3”中调查区空气、水体生物调查点设置是否与“6.3”中内容矛盾，请核实；6.基于“氚和14C”较容易进入人体中组织和参与人体代谢，同时也是国家相关调查项目关注的核素，建议水中调查核素增加“氚和14C”核素的相关内容；7.结合宁夏的气候特点，是否应当规定空气（含沉降物）的采样规定，如，宁夏冬春季节风沙较大，是否会对沉降代表性带来影响；8.表2中建议增加测量用仪器的选择，因为环境调查相对浓度较低，可能会遇到对仪器探测下限和分辨率有具体要求的情形，通过该标准规定好仪器选择可以更好地控制调查质量；9.“6.3.5.1”建议增加“水果”，因为居民膳食营养组成逐步在发生变化，水果在居民食品结构中的比例逐步在提高。</w:t>
            </w:r>
          </w:p>
        </w:tc>
        <w:tc>
          <w:tcPr>
            <w:tcW w:w="2351" w:type="pct"/>
            <w:vAlign w:val="center"/>
          </w:tcPr>
          <w:p w14:paraId="1030DB7A">
            <w:pPr>
              <w:rPr>
                <w:rFonts w:ascii="仿宋_GB2312" w:eastAsia="仿宋_GB2312" w:cs="Times New Roman" w:hAnsiTheme="minorEastAsia"/>
                <w:sz w:val="24"/>
              </w:rPr>
            </w:pPr>
            <w:r>
              <w:rPr>
                <w:rFonts w:hint="eastAsia" w:ascii="仿宋_GB2312" w:eastAsia="仿宋_GB2312" w:cs="Times New Roman" w:hAnsiTheme="minorEastAsia"/>
                <w:sz w:val="24"/>
              </w:rPr>
              <w:t>对采纳的意见逐条进行对照修改：1.采纳，对“规范性引用文件”进行了核实修改。2.部分采纳，不需要对环境敏感目标进行评估，但如自然保护区核心区、军事禁区等一般难以开展调查工作。因此将“4.3.2”相应部分修改为：对环境敏感目标（生态功能保护区、自然与文化保护区、生态敏感与脆弱区）及军事禁区等制定针对性调查措施。从而让这部分内容更具有可操作性。3.采纳，</w:t>
            </w:r>
            <w:r>
              <w:rPr>
                <w:rFonts w:ascii="仿宋_GB2312" w:eastAsia="仿宋_GB2312" w:cs="Times New Roman" w:hAnsiTheme="minorEastAsia"/>
                <w:sz w:val="24"/>
              </w:rPr>
              <w:t>对流程图进行了修改。</w:t>
            </w:r>
            <w:r>
              <w:rPr>
                <w:rFonts w:hint="eastAsia" w:ascii="仿宋_GB2312" w:eastAsia="仿宋_GB2312" w:cs="Times New Roman" w:hAnsiTheme="minorEastAsia"/>
                <w:sz w:val="24"/>
              </w:rPr>
              <w:t>4.采纳，</w:t>
            </w:r>
            <w:r>
              <w:rPr>
                <w:rFonts w:ascii="仿宋_GB2312" w:eastAsia="仿宋_GB2312" w:cs="Times New Roman" w:hAnsiTheme="minorEastAsia"/>
                <w:sz w:val="24"/>
              </w:rPr>
              <w:t>删除“</w:t>
            </w:r>
            <w:r>
              <w:rPr>
                <w:rFonts w:hint="eastAsia" w:ascii="仿宋_GB2312" w:eastAsia="仿宋_GB2312" w:cs="Times New Roman" w:hAnsiTheme="minorEastAsia"/>
                <w:sz w:val="24"/>
              </w:rPr>
              <w:t>使用北斗设备定位</w:t>
            </w:r>
            <w:r>
              <w:rPr>
                <w:rFonts w:ascii="仿宋_GB2312" w:eastAsia="仿宋_GB2312" w:cs="Times New Roman" w:hAnsiTheme="minorEastAsia"/>
                <w:sz w:val="24"/>
              </w:rPr>
              <w:t>”语句，在</w:t>
            </w:r>
            <w:r>
              <w:rPr>
                <w:rFonts w:hint="eastAsia" w:ascii="仿宋_GB2312" w:eastAsia="仿宋_GB2312" w:cs="Times New Roman" w:hAnsiTheme="minorEastAsia"/>
                <w:sz w:val="24"/>
              </w:rPr>
              <w:t>4.</w:t>
            </w:r>
            <w:r>
              <w:rPr>
                <w:rFonts w:ascii="仿宋_GB2312" w:eastAsia="仿宋_GB2312" w:cs="Times New Roman" w:hAnsiTheme="minorEastAsia"/>
                <w:sz w:val="24"/>
              </w:rPr>
              <w:t>3章节补充使用定位系统定位的要求。</w:t>
            </w:r>
            <w:r>
              <w:rPr>
                <w:rFonts w:hint="eastAsia" w:ascii="仿宋_GB2312" w:eastAsia="仿宋_GB2312" w:cs="Times New Roman" w:hAnsiTheme="minorEastAsia"/>
                <w:sz w:val="24"/>
              </w:rPr>
              <w:t>5.采纳，修改为6.1.3　对调查区内空气（沉降物、气溶胶）、水体、生物等，按照6.3中的相关规定设置调查点，避免产生矛盾。6.</w:t>
            </w:r>
            <w:r>
              <w:rPr>
                <w:rFonts w:ascii="仿宋_GB2312" w:eastAsia="仿宋_GB2312" w:cs="Times New Roman" w:hAnsiTheme="minorEastAsia"/>
                <w:sz w:val="24"/>
              </w:rPr>
              <w:t>不采纳，</w:t>
            </w:r>
            <w:r>
              <w:rPr>
                <w:rFonts w:hint="eastAsia" w:ascii="仿宋_GB2312" w:eastAsia="仿宋_GB2312" w:cs="Times New Roman" w:hAnsiTheme="minorEastAsia"/>
                <w:sz w:val="24"/>
              </w:rPr>
              <w:t xml:space="preserve">表1  </w:t>
            </w:r>
            <w:r>
              <w:rPr>
                <w:rFonts w:ascii="仿宋_GB2312" w:eastAsia="仿宋_GB2312" w:cs="Times New Roman" w:hAnsiTheme="minorEastAsia"/>
                <w:sz w:val="24"/>
              </w:rPr>
              <w:t>中已经规定水体先检测</w:t>
            </w:r>
            <w:r>
              <w:rPr>
                <w:rFonts w:hint="eastAsia" w:ascii="仿宋_GB2312" w:eastAsia="仿宋_GB2312" w:cs="Times New Roman" w:hAnsiTheme="minorEastAsia"/>
                <w:sz w:val="24"/>
              </w:rPr>
              <w:t>总α、总β，若总α、总β超过GB 5749规定的饮用水指导值，则加测γ能谱。这部分已经规定在必要的情况下，加测核素，同时为增强普适性，不再详细规定具体核素种类。7.不</w:t>
            </w:r>
            <w:r>
              <w:rPr>
                <w:rFonts w:ascii="仿宋_GB2312" w:eastAsia="仿宋_GB2312" w:cs="Times New Roman" w:hAnsiTheme="minorEastAsia"/>
                <w:sz w:val="24"/>
              </w:rPr>
              <w:t>采纳，沉降物检测一旦开始采样，中间不停止，无法避开沙尘天气，这符合相关采样规定。</w:t>
            </w:r>
            <w:r>
              <w:rPr>
                <w:rFonts w:hint="eastAsia" w:ascii="仿宋_GB2312" w:eastAsia="仿宋_GB2312" w:cs="Times New Roman" w:hAnsiTheme="minorEastAsia"/>
                <w:sz w:val="24"/>
                <w:highlight w:val="yellow"/>
              </w:rPr>
              <w:t>8.</w:t>
            </w:r>
            <w:r>
              <w:rPr>
                <w:rFonts w:ascii="仿宋_GB2312" w:eastAsia="仿宋_GB2312" w:cs="Times New Roman" w:hAnsiTheme="minorEastAsia"/>
                <w:sz w:val="24"/>
                <w:highlight w:val="yellow"/>
              </w:rPr>
              <w:t xml:space="preserve"> 不采纳，在“</w:t>
            </w:r>
            <w:r>
              <w:rPr>
                <w:rFonts w:hint="eastAsia" w:ascii="仿宋_GB2312" w:eastAsia="仿宋_GB2312" w:cs="Times New Roman" w:hAnsiTheme="minorEastAsia"/>
                <w:sz w:val="24"/>
                <w:highlight w:val="yellow"/>
              </w:rPr>
              <w:t>4.3.2</w:t>
            </w:r>
            <w:r>
              <w:rPr>
                <w:rFonts w:ascii="仿宋_GB2312" w:eastAsia="仿宋_GB2312" w:cs="Times New Roman" w:hAnsiTheme="minorEastAsia"/>
                <w:sz w:val="24"/>
                <w:highlight w:val="yellow"/>
              </w:rPr>
              <w:t>”</w:t>
            </w:r>
            <w:r>
              <w:rPr>
                <w:rFonts w:hint="eastAsia" w:ascii="仿宋_GB2312" w:eastAsia="仿宋_GB2312" w:cs="Times New Roman" w:hAnsiTheme="minorEastAsia"/>
                <w:sz w:val="24"/>
                <w:highlight w:val="yellow"/>
              </w:rPr>
              <w:t>条款中，已经规定了通过现场踏勘，对使用的仪器设备进行核查。所以调查单位可以在踏勘过程</w:t>
            </w:r>
            <w:r>
              <w:rPr>
                <w:rFonts w:ascii="仿宋_GB2312" w:eastAsia="仿宋_GB2312" w:cs="Times New Roman" w:hAnsiTheme="minorEastAsia"/>
                <w:sz w:val="24"/>
                <w:highlight w:val="yellow"/>
              </w:rPr>
              <w:t>中选择适宜的测量仪器。并且仪器设备发展较快，新设备层出不穷，规定过细将导致可操作性降低。</w:t>
            </w:r>
            <w:r>
              <w:rPr>
                <w:rFonts w:hint="eastAsia" w:ascii="仿宋_GB2312" w:eastAsia="仿宋_GB2312" w:cs="Times New Roman" w:hAnsiTheme="minorEastAsia"/>
                <w:sz w:val="24"/>
              </w:rPr>
              <w:t>9.</w:t>
            </w:r>
            <w:r>
              <w:rPr>
                <w:rFonts w:ascii="仿宋_GB2312" w:eastAsia="仿宋_GB2312" w:cs="Times New Roman" w:hAnsiTheme="minorEastAsia"/>
                <w:sz w:val="24"/>
              </w:rPr>
              <w:t>采纳，陆生生物样中增加了水果。</w:t>
            </w:r>
          </w:p>
          <w:p w14:paraId="12E4E609">
            <w:pPr>
              <w:rPr>
                <w:rFonts w:ascii="仿宋_GB2312" w:eastAsia="仿宋_GB2312" w:cs="Times New Roman" w:hAnsiTheme="minorEastAsia"/>
                <w:sz w:val="24"/>
              </w:rPr>
            </w:pPr>
          </w:p>
          <w:p w14:paraId="701CA8C4">
            <w:pPr>
              <w:rPr>
                <w:rFonts w:ascii="仿宋_GB2312" w:eastAsia="仿宋_GB2312" w:cs="Times New Roman" w:hAnsiTheme="minorEastAsia"/>
                <w:sz w:val="24"/>
              </w:rPr>
            </w:pPr>
          </w:p>
          <w:p w14:paraId="26611237">
            <w:pPr>
              <w:rPr>
                <w:rFonts w:ascii="仿宋_GB2312" w:eastAsia="仿宋_GB2312" w:cs="Times New Roman" w:hAnsiTheme="minorEastAsia"/>
                <w:sz w:val="24"/>
              </w:rPr>
            </w:pPr>
          </w:p>
          <w:p w14:paraId="2946C36D">
            <w:pPr>
              <w:jc w:val="left"/>
              <w:rPr>
                <w:rFonts w:ascii="仿宋_GB2312" w:eastAsia="仿宋_GB2312" w:cs="Times New Roman" w:hAnsiTheme="minorEastAsia"/>
                <w:sz w:val="24"/>
              </w:rPr>
            </w:pPr>
          </w:p>
        </w:tc>
        <w:tc>
          <w:tcPr>
            <w:tcW w:w="659" w:type="pct"/>
            <w:vAlign w:val="center"/>
          </w:tcPr>
          <w:p w14:paraId="1AC40098">
            <w:pPr>
              <w:jc w:val="left"/>
              <w:rPr>
                <w:rFonts w:ascii="仿宋_GB2312" w:eastAsia="仿宋_GB2312" w:cs="Times New Roman" w:hAnsiTheme="minorEastAsia"/>
                <w:sz w:val="24"/>
              </w:rPr>
            </w:pPr>
            <w:r>
              <w:rPr>
                <w:rFonts w:hint="eastAsia" w:ascii="仿宋_GB2312" w:eastAsia="仿宋_GB2312" w:cs="Times New Roman" w:hAnsiTheme="minorEastAsia"/>
                <w:sz w:val="24"/>
              </w:rPr>
              <w:t>宁夏回族自治区疾病预防控制中心</w:t>
            </w:r>
          </w:p>
        </w:tc>
        <w:tc>
          <w:tcPr>
            <w:tcW w:w="309" w:type="pct"/>
            <w:vAlign w:val="center"/>
          </w:tcPr>
          <w:p w14:paraId="6C579272">
            <w:pPr>
              <w:jc w:val="center"/>
              <w:rPr>
                <w:rFonts w:ascii="仿宋_GB2312" w:eastAsia="仿宋_GB2312" w:cs="Times New Roman" w:hAnsiTheme="minorEastAsia"/>
                <w:sz w:val="24"/>
              </w:rPr>
            </w:pPr>
            <w:r>
              <w:rPr>
                <w:rFonts w:hint="eastAsia" w:ascii="仿宋_GB2312" w:eastAsia="仿宋_GB2312" w:cs="Times New Roman" w:hAnsiTheme="minorEastAsia"/>
                <w:sz w:val="24"/>
              </w:rPr>
              <w:t>部分采纳</w:t>
            </w:r>
          </w:p>
        </w:tc>
      </w:tr>
    </w:tbl>
    <w:p w14:paraId="3BEACCB7">
      <w:pPr>
        <w:rPr>
          <w:rFonts w:ascii="宋体" w:hAnsi="宋体" w:eastAsia="仿宋_GB2312" w:cs="Times New Roman"/>
          <w:sz w:val="24"/>
          <w:szCs w:val="32"/>
        </w:rPr>
      </w:pPr>
    </w:p>
    <w:p w14:paraId="0CB2A2D7">
      <w:r>
        <w:t>注：意见处理栏填写内容分为“全部采纳”“部分采纳。修改为：”“未采纳。理由如下：”</w:t>
      </w:r>
    </w:p>
    <w:sectPr>
      <w:pgSz w:w="16838" w:h="11906" w:orient="landscape"/>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460B">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08E3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208E3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27057"/>
    <w:multiLevelType w:val="multilevel"/>
    <w:tmpl w:val="55F27057"/>
    <w:lvl w:ilvl="0" w:tentative="0">
      <w:start w:val="1"/>
      <w:numFmt w:val="decimalEnclosedCircle"/>
      <w:lvlText w:val="%1"/>
      <w:lvlJc w:val="left"/>
      <w:pPr>
        <w:ind w:left="1000" w:hanging="360"/>
      </w:pPr>
      <w:rPr>
        <w:rFonts w:hint="default" w:ascii="仿宋" w:hAns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jJkYzdiODdhNGQ2ZGIzMWU4YTliZTg2Mjc5ODQifQ=="/>
    <w:docVar w:name="KSO_WPS_MARK_KEY" w:val="a03ea3eb-8cc4-4293-8250-1804d991e1e0"/>
  </w:docVars>
  <w:rsids>
    <w:rsidRoot w:val="7FE30F69"/>
    <w:rsid w:val="00015D40"/>
    <w:rsid w:val="0001616F"/>
    <w:rsid w:val="000161EC"/>
    <w:rsid w:val="00020430"/>
    <w:rsid w:val="00026F03"/>
    <w:rsid w:val="00032AD4"/>
    <w:rsid w:val="00033253"/>
    <w:rsid w:val="000362B0"/>
    <w:rsid w:val="00040020"/>
    <w:rsid w:val="000473DE"/>
    <w:rsid w:val="00056BE1"/>
    <w:rsid w:val="00066791"/>
    <w:rsid w:val="00074DDF"/>
    <w:rsid w:val="00080790"/>
    <w:rsid w:val="000835A4"/>
    <w:rsid w:val="00083E66"/>
    <w:rsid w:val="000917B4"/>
    <w:rsid w:val="0009618A"/>
    <w:rsid w:val="000A299D"/>
    <w:rsid w:val="000B5D5E"/>
    <w:rsid w:val="000C16D7"/>
    <w:rsid w:val="000C2753"/>
    <w:rsid w:val="000C4897"/>
    <w:rsid w:val="000C53A2"/>
    <w:rsid w:val="000D23EE"/>
    <w:rsid w:val="000D2900"/>
    <w:rsid w:val="000F0193"/>
    <w:rsid w:val="000F0584"/>
    <w:rsid w:val="000F1AFB"/>
    <w:rsid w:val="00101603"/>
    <w:rsid w:val="0010333B"/>
    <w:rsid w:val="00105520"/>
    <w:rsid w:val="0012273E"/>
    <w:rsid w:val="0012742D"/>
    <w:rsid w:val="00132ACB"/>
    <w:rsid w:val="001403B1"/>
    <w:rsid w:val="00141CAF"/>
    <w:rsid w:val="00144420"/>
    <w:rsid w:val="00147A03"/>
    <w:rsid w:val="00160EED"/>
    <w:rsid w:val="00161A2F"/>
    <w:rsid w:val="00162035"/>
    <w:rsid w:val="001624DD"/>
    <w:rsid w:val="00162D19"/>
    <w:rsid w:val="00162F85"/>
    <w:rsid w:val="00163A42"/>
    <w:rsid w:val="00166EA8"/>
    <w:rsid w:val="00174328"/>
    <w:rsid w:val="00175D0D"/>
    <w:rsid w:val="0018018C"/>
    <w:rsid w:val="00181045"/>
    <w:rsid w:val="0018217F"/>
    <w:rsid w:val="0019125C"/>
    <w:rsid w:val="001A6B50"/>
    <w:rsid w:val="001B544B"/>
    <w:rsid w:val="001B580D"/>
    <w:rsid w:val="001B6A42"/>
    <w:rsid w:val="001C60AC"/>
    <w:rsid w:val="001D699D"/>
    <w:rsid w:val="001F109B"/>
    <w:rsid w:val="001F4E99"/>
    <w:rsid w:val="001F7691"/>
    <w:rsid w:val="00200F00"/>
    <w:rsid w:val="0021056C"/>
    <w:rsid w:val="00210B9C"/>
    <w:rsid w:val="002115AA"/>
    <w:rsid w:val="0021330F"/>
    <w:rsid w:val="002163AD"/>
    <w:rsid w:val="002165DF"/>
    <w:rsid w:val="00226B1F"/>
    <w:rsid w:val="00230C92"/>
    <w:rsid w:val="0023255C"/>
    <w:rsid w:val="00237B84"/>
    <w:rsid w:val="00245788"/>
    <w:rsid w:val="00265611"/>
    <w:rsid w:val="00265D74"/>
    <w:rsid w:val="00266C42"/>
    <w:rsid w:val="00267BBB"/>
    <w:rsid w:val="00272354"/>
    <w:rsid w:val="002801D9"/>
    <w:rsid w:val="00284E43"/>
    <w:rsid w:val="00290A23"/>
    <w:rsid w:val="00295882"/>
    <w:rsid w:val="002A2475"/>
    <w:rsid w:val="002A3590"/>
    <w:rsid w:val="002A7D1C"/>
    <w:rsid w:val="002B372C"/>
    <w:rsid w:val="002B3730"/>
    <w:rsid w:val="002C035F"/>
    <w:rsid w:val="002C1772"/>
    <w:rsid w:val="002C6D0A"/>
    <w:rsid w:val="002D1BF1"/>
    <w:rsid w:val="002D2B8E"/>
    <w:rsid w:val="002D5B1C"/>
    <w:rsid w:val="002D7DE5"/>
    <w:rsid w:val="002E10E8"/>
    <w:rsid w:val="002E3268"/>
    <w:rsid w:val="002F05AE"/>
    <w:rsid w:val="002F0C53"/>
    <w:rsid w:val="002F38AE"/>
    <w:rsid w:val="002F47E1"/>
    <w:rsid w:val="002F6ED6"/>
    <w:rsid w:val="002F76C9"/>
    <w:rsid w:val="003003B2"/>
    <w:rsid w:val="00300CF1"/>
    <w:rsid w:val="00304201"/>
    <w:rsid w:val="0030431E"/>
    <w:rsid w:val="00304420"/>
    <w:rsid w:val="00305122"/>
    <w:rsid w:val="00315F7E"/>
    <w:rsid w:val="003256DD"/>
    <w:rsid w:val="0033491C"/>
    <w:rsid w:val="00336563"/>
    <w:rsid w:val="00344215"/>
    <w:rsid w:val="003463E4"/>
    <w:rsid w:val="00346840"/>
    <w:rsid w:val="003529CA"/>
    <w:rsid w:val="00353F2F"/>
    <w:rsid w:val="003545DC"/>
    <w:rsid w:val="00361DCA"/>
    <w:rsid w:val="003632D7"/>
    <w:rsid w:val="003641E0"/>
    <w:rsid w:val="003660DD"/>
    <w:rsid w:val="00374739"/>
    <w:rsid w:val="00375388"/>
    <w:rsid w:val="00375C81"/>
    <w:rsid w:val="00375DF5"/>
    <w:rsid w:val="00377793"/>
    <w:rsid w:val="00381C0C"/>
    <w:rsid w:val="003867DC"/>
    <w:rsid w:val="0039237E"/>
    <w:rsid w:val="00393D3D"/>
    <w:rsid w:val="00395E72"/>
    <w:rsid w:val="003A1785"/>
    <w:rsid w:val="003A4105"/>
    <w:rsid w:val="003B4D0E"/>
    <w:rsid w:val="003B4F33"/>
    <w:rsid w:val="003C7FAA"/>
    <w:rsid w:val="003D1797"/>
    <w:rsid w:val="003D7C93"/>
    <w:rsid w:val="003F75F0"/>
    <w:rsid w:val="00401CAF"/>
    <w:rsid w:val="00402308"/>
    <w:rsid w:val="0040635A"/>
    <w:rsid w:val="00410DD9"/>
    <w:rsid w:val="004127BE"/>
    <w:rsid w:val="00414BD2"/>
    <w:rsid w:val="00417DC2"/>
    <w:rsid w:val="004258CA"/>
    <w:rsid w:val="00427F52"/>
    <w:rsid w:val="00433FAD"/>
    <w:rsid w:val="00434DE7"/>
    <w:rsid w:val="004355DE"/>
    <w:rsid w:val="00452427"/>
    <w:rsid w:val="004604F8"/>
    <w:rsid w:val="004659D1"/>
    <w:rsid w:val="004660D7"/>
    <w:rsid w:val="00472C66"/>
    <w:rsid w:val="00474E08"/>
    <w:rsid w:val="00475366"/>
    <w:rsid w:val="00483144"/>
    <w:rsid w:val="00484348"/>
    <w:rsid w:val="0048705C"/>
    <w:rsid w:val="004878E9"/>
    <w:rsid w:val="00491789"/>
    <w:rsid w:val="0049244E"/>
    <w:rsid w:val="00492F92"/>
    <w:rsid w:val="00494143"/>
    <w:rsid w:val="00496DB7"/>
    <w:rsid w:val="004A0779"/>
    <w:rsid w:val="004A0A22"/>
    <w:rsid w:val="004A1E99"/>
    <w:rsid w:val="004A21F4"/>
    <w:rsid w:val="004A2382"/>
    <w:rsid w:val="004A6844"/>
    <w:rsid w:val="004A6EF6"/>
    <w:rsid w:val="004A759A"/>
    <w:rsid w:val="004B7DF9"/>
    <w:rsid w:val="004C7892"/>
    <w:rsid w:val="004C7E84"/>
    <w:rsid w:val="004D30EB"/>
    <w:rsid w:val="004E5C42"/>
    <w:rsid w:val="004E620B"/>
    <w:rsid w:val="004F6CEE"/>
    <w:rsid w:val="00504E06"/>
    <w:rsid w:val="00507917"/>
    <w:rsid w:val="00511DC6"/>
    <w:rsid w:val="00514DCD"/>
    <w:rsid w:val="00515C7C"/>
    <w:rsid w:val="00516AEE"/>
    <w:rsid w:val="00517F36"/>
    <w:rsid w:val="005219B4"/>
    <w:rsid w:val="00524BE2"/>
    <w:rsid w:val="00527944"/>
    <w:rsid w:val="00533FA8"/>
    <w:rsid w:val="00537A1D"/>
    <w:rsid w:val="00544C00"/>
    <w:rsid w:val="00550D55"/>
    <w:rsid w:val="005517C0"/>
    <w:rsid w:val="00556554"/>
    <w:rsid w:val="00565A5B"/>
    <w:rsid w:val="00574136"/>
    <w:rsid w:val="00574B7F"/>
    <w:rsid w:val="00577EBC"/>
    <w:rsid w:val="00592A8F"/>
    <w:rsid w:val="0059480E"/>
    <w:rsid w:val="005965EE"/>
    <w:rsid w:val="00596617"/>
    <w:rsid w:val="00597AF4"/>
    <w:rsid w:val="005A0C93"/>
    <w:rsid w:val="005A2C1D"/>
    <w:rsid w:val="005A4F96"/>
    <w:rsid w:val="005A70ED"/>
    <w:rsid w:val="005A767A"/>
    <w:rsid w:val="005B160D"/>
    <w:rsid w:val="005D3D66"/>
    <w:rsid w:val="005F2AEB"/>
    <w:rsid w:val="005F3F31"/>
    <w:rsid w:val="005F5FFC"/>
    <w:rsid w:val="005F738B"/>
    <w:rsid w:val="00600732"/>
    <w:rsid w:val="00605DC9"/>
    <w:rsid w:val="0060600E"/>
    <w:rsid w:val="006135E2"/>
    <w:rsid w:val="00613EB7"/>
    <w:rsid w:val="00614268"/>
    <w:rsid w:val="00615212"/>
    <w:rsid w:val="006201D9"/>
    <w:rsid w:val="00620A7B"/>
    <w:rsid w:val="00622996"/>
    <w:rsid w:val="00622DBE"/>
    <w:rsid w:val="00626CA9"/>
    <w:rsid w:val="00631BDD"/>
    <w:rsid w:val="00633732"/>
    <w:rsid w:val="00637DB8"/>
    <w:rsid w:val="006477A1"/>
    <w:rsid w:val="00650073"/>
    <w:rsid w:val="006509B6"/>
    <w:rsid w:val="00651F5D"/>
    <w:rsid w:val="006602BA"/>
    <w:rsid w:val="006615BB"/>
    <w:rsid w:val="006642A4"/>
    <w:rsid w:val="00665525"/>
    <w:rsid w:val="0066636C"/>
    <w:rsid w:val="00666552"/>
    <w:rsid w:val="00670F0E"/>
    <w:rsid w:val="0068048C"/>
    <w:rsid w:val="00680E55"/>
    <w:rsid w:val="00681245"/>
    <w:rsid w:val="00691ACB"/>
    <w:rsid w:val="00692B4C"/>
    <w:rsid w:val="00697CA7"/>
    <w:rsid w:val="006B26CD"/>
    <w:rsid w:val="006B4303"/>
    <w:rsid w:val="006B4824"/>
    <w:rsid w:val="006B6180"/>
    <w:rsid w:val="006B7FA5"/>
    <w:rsid w:val="006C0E43"/>
    <w:rsid w:val="006C2C09"/>
    <w:rsid w:val="006C2F7F"/>
    <w:rsid w:val="006C7801"/>
    <w:rsid w:val="006D12A3"/>
    <w:rsid w:val="006D30C6"/>
    <w:rsid w:val="006D74E7"/>
    <w:rsid w:val="006E3E44"/>
    <w:rsid w:val="006E79D7"/>
    <w:rsid w:val="006F56F2"/>
    <w:rsid w:val="00712A02"/>
    <w:rsid w:val="0071733D"/>
    <w:rsid w:val="00723C3D"/>
    <w:rsid w:val="00726725"/>
    <w:rsid w:val="00746DB1"/>
    <w:rsid w:val="00747330"/>
    <w:rsid w:val="00747E9F"/>
    <w:rsid w:val="0075683B"/>
    <w:rsid w:val="007613C7"/>
    <w:rsid w:val="00762FFA"/>
    <w:rsid w:val="007632F2"/>
    <w:rsid w:val="00763D01"/>
    <w:rsid w:val="00767703"/>
    <w:rsid w:val="0077096F"/>
    <w:rsid w:val="0077173C"/>
    <w:rsid w:val="00771FC7"/>
    <w:rsid w:val="00773465"/>
    <w:rsid w:val="00773EF9"/>
    <w:rsid w:val="00774B92"/>
    <w:rsid w:val="00777B05"/>
    <w:rsid w:val="007805A2"/>
    <w:rsid w:val="00787053"/>
    <w:rsid w:val="00792468"/>
    <w:rsid w:val="00793865"/>
    <w:rsid w:val="0079545C"/>
    <w:rsid w:val="007A0F7F"/>
    <w:rsid w:val="007A756B"/>
    <w:rsid w:val="007B1E4A"/>
    <w:rsid w:val="007B7F12"/>
    <w:rsid w:val="007C04AC"/>
    <w:rsid w:val="007C24BE"/>
    <w:rsid w:val="007C594E"/>
    <w:rsid w:val="007D11F7"/>
    <w:rsid w:val="007D2FCA"/>
    <w:rsid w:val="007D3808"/>
    <w:rsid w:val="007D4623"/>
    <w:rsid w:val="007E057A"/>
    <w:rsid w:val="007E264D"/>
    <w:rsid w:val="007E6379"/>
    <w:rsid w:val="007F662F"/>
    <w:rsid w:val="00803415"/>
    <w:rsid w:val="00805925"/>
    <w:rsid w:val="00805AE4"/>
    <w:rsid w:val="00806636"/>
    <w:rsid w:val="00810088"/>
    <w:rsid w:val="0081382B"/>
    <w:rsid w:val="00816BB6"/>
    <w:rsid w:val="00825310"/>
    <w:rsid w:val="0084205F"/>
    <w:rsid w:val="0084555C"/>
    <w:rsid w:val="008457B5"/>
    <w:rsid w:val="00853E2C"/>
    <w:rsid w:val="00855E1D"/>
    <w:rsid w:val="00860965"/>
    <w:rsid w:val="00860D5C"/>
    <w:rsid w:val="008619E4"/>
    <w:rsid w:val="008653AE"/>
    <w:rsid w:val="008749D8"/>
    <w:rsid w:val="00877142"/>
    <w:rsid w:val="00877CF7"/>
    <w:rsid w:val="00884005"/>
    <w:rsid w:val="008842A1"/>
    <w:rsid w:val="00885D39"/>
    <w:rsid w:val="008873FC"/>
    <w:rsid w:val="008930E6"/>
    <w:rsid w:val="008B18C7"/>
    <w:rsid w:val="008B32CE"/>
    <w:rsid w:val="008B34A3"/>
    <w:rsid w:val="008B39A4"/>
    <w:rsid w:val="008B5E73"/>
    <w:rsid w:val="008C1D8F"/>
    <w:rsid w:val="008C6A11"/>
    <w:rsid w:val="008C6D4E"/>
    <w:rsid w:val="008E6CC0"/>
    <w:rsid w:val="008F23AD"/>
    <w:rsid w:val="008F35C6"/>
    <w:rsid w:val="008F6E2F"/>
    <w:rsid w:val="008F75D1"/>
    <w:rsid w:val="00900EDC"/>
    <w:rsid w:val="00901F40"/>
    <w:rsid w:val="0091069E"/>
    <w:rsid w:val="00913463"/>
    <w:rsid w:val="00922140"/>
    <w:rsid w:val="0092300C"/>
    <w:rsid w:val="00923128"/>
    <w:rsid w:val="0092402D"/>
    <w:rsid w:val="00924D9F"/>
    <w:rsid w:val="00936C26"/>
    <w:rsid w:val="009374D9"/>
    <w:rsid w:val="00940222"/>
    <w:rsid w:val="009443D1"/>
    <w:rsid w:val="0096442D"/>
    <w:rsid w:val="0097060C"/>
    <w:rsid w:val="0097640D"/>
    <w:rsid w:val="00976859"/>
    <w:rsid w:val="00976DBA"/>
    <w:rsid w:val="00985AD7"/>
    <w:rsid w:val="00987181"/>
    <w:rsid w:val="009902CB"/>
    <w:rsid w:val="009A4A14"/>
    <w:rsid w:val="009A5EB6"/>
    <w:rsid w:val="009B070A"/>
    <w:rsid w:val="009B4656"/>
    <w:rsid w:val="009B6F13"/>
    <w:rsid w:val="009C1D90"/>
    <w:rsid w:val="009D0A54"/>
    <w:rsid w:val="009D3E66"/>
    <w:rsid w:val="009D44E3"/>
    <w:rsid w:val="009E2439"/>
    <w:rsid w:val="009E2523"/>
    <w:rsid w:val="009E3C7B"/>
    <w:rsid w:val="009F4BF3"/>
    <w:rsid w:val="00A01FD9"/>
    <w:rsid w:val="00A02708"/>
    <w:rsid w:val="00A02EBF"/>
    <w:rsid w:val="00A05746"/>
    <w:rsid w:val="00A12450"/>
    <w:rsid w:val="00A2041D"/>
    <w:rsid w:val="00A30F2B"/>
    <w:rsid w:val="00A31054"/>
    <w:rsid w:val="00A319C4"/>
    <w:rsid w:val="00A3261B"/>
    <w:rsid w:val="00A361D7"/>
    <w:rsid w:val="00A379B9"/>
    <w:rsid w:val="00A420EF"/>
    <w:rsid w:val="00A45268"/>
    <w:rsid w:val="00A4531C"/>
    <w:rsid w:val="00A51538"/>
    <w:rsid w:val="00A57E29"/>
    <w:rsid w:val="00A65F07"/>
    <w:rsid w:val="00A73BBF"/>
    <w:rsid w:val="00A76C4A"/>
    <w:rsid w:val="00A822A5"/>
    <w:rsid w:val="00A83EA5"/>
    <w:rsid w:val="00A92FA8"/>
    <w:rsid w:val="00AA5D29"/>
    <w:rsid w:val="00AA625E"/>
    <w:rsid w:val="00AB17CA"/>
    <w:rsid w:val="00AB3E08"/>
    <w:rsid w:val="00AC0CAE"/>
    <w:rsid w:val="00AC1869"/>
    <w:rsid w:val="00AC1CA3"/>
    <w:rsid w:val="00AC4352"/>
    <w:rsid w:val="00AC59F5"/>
    <w:rsid w:val="00AC6A4F"/>
    <w:rsid w:val="00AD3807"/>
    <w:rsid w:val="00AE060D"/>
    <w:rsid w:val="00AE20A6"/>
    <w:rsid w:val="00AE55D8"/>
    <w:rsid w:val="00AF2507"/>
    <w:rsid w:val="00AF2EB5"/>
    <w:rsid w:val="00AF4318"/>
    <w:rsid w:val="00AF6B24"/>
    <w:rsid w:val="00B01825"/>
    <w:rsid w:val="00B03009"/>
    <w:rsid w:val="00B11F94"/>
    <w:rsid w:val="00B12563"/>
    <w:rsid w:val="00B176F7"/>
    <w:rsid w:val="00B212D2"/>
    <w:rsid w:val="00B23E09"/>
    <w:rsid w:val="00B2670C"/>
    <w:rsid w:val="00B27AEC"/>
    <w:rsid w:val="00B31E07"/>
    <w:rsid w:val="00B32844"/>
    <w:rsid w:val="00B412D2"/>
    <w:rsid w:val="00B454C4"/>
    <w:rsid w:val="00B46688"/>
    <w:rsid w:val="00B47646"/>
    <w:rsid w:val="00B47E67"/>
    <w:rsid w:val="00B525D1"/>
    <w:rsid w:val="00B53414"/>
    <w:rsid w:val="00B55179"/>
    <w:rsid w:val="00B562B5"/>
    <w:rsid w:val="00B574E3"/>
    <w:rsid w:val="00B600A0"/>
    <w:rsid w:val="00B62901"/>
    <w:rsid w:val="00B63D8D"/>
    <w:rsid w:val="00B64C6F"/>
    <w:rsid w:val="00B71ADF"/>
    <w:rsid w:val="00B722CA"/>
    <w:rsid w:val="00B73C11"/>
    <w:rsid w:val="00B74581"/>
    <w:rsid w:val="00B74A3A"/>
    <w:rsid w:val="00B80F18"/>
    <w:rsid w:val="00B942B9"/>
    <w:rsid w:val="00B9747A"/>
    <w:rsid w:val="00BA1D60"/>
    <w:rsid w:val="00BA406F"/>
    <w:rsid w:val="00BA6EB8"/>
    <w:rsid w:val="00BB2F1A"/>
    <w:rsid w:val="00BB43F3"/>
    <w:rsid w:val="00BC1336"/>
    <w:rsid w:val="00BE1E0A"/>
    <w:rsid w:val="00BE74E0"/>
    <w:rsid w:val="00BF1681"/>
    <w:rsid w:val="00BF25DB"/>
    <w:rsid w:val="00BF2ACA"/>
    <w:rsid w:val="00BF3B93"/>
    <w:rsid w:val="00BF48C6"/>
    <w:rsid w:val="00BF4CA6"/>
    <w:rsid w:val="00BF5187"/>
    <w:rsid w:val="00C02D36"/>
    <w:rsid w:val="00C04EFF"/>
    <w:rsid w:val="00C07758"/>
    <w:rsid w:val="00C1206B"/>
    <w:rsid w:val="00C12B41"/>
    <w:rsid w:val="00C137E0"/>
    <w:rsid w:val="00C15284"/>
    <w:rsid w:val="00C20079"/>
    <w:rsid w:val="00C23AE0"/>
    <w:rsid w:val="00C2555D"/>
    <w:rsid w:val="00C26717"/>
    <w:rsid w:val="00C35A83"/>
    <w:rsid w:val="00C3656E"/>
    <w:rsid w:val="00C5124B"/>
    <w:rsid w:val="00C53559"/>
    <w:rsid w:val="00C607C7"/>
    <w:rsid w:val="00C61C65"/>
    <w:rsid w:val="00C728D8"/>
    <w:rsid w:val="00C748D1"/>
    <w:rsid w:val="00C94241"/>
    <w:rsid w:val="00C96AE1"/>
    <w:rsid w:val="00CA1A87"/>
    <w:rsid w:val="00CA2908"/>
    <w:rsid w:val="00CB27AA"/>
    <w:rsid w:val="00CB5B1F"/>
    <w:rsid w:val="00CB5C85"/>
    <w:rsid w:val="00CC2A72"/>
    <w:rsid w:val="00CC3CC3"/>
    <w:rsid w:val="00CC435D"/>
    <w:rsid w:val="00CC437A"/>
    <w:rsid w:val="00CC655A"/>
    <w:rsid w:val="00CD1003"/>
    <w:rsid w:val="00CD1024"/>
    <w:rsid w:val="00CD5BC4"/>
    <w:rsid w:val="00CE2518"/>
    <w:rsid w:val="00CF089A"/>
    <w:rsid w:val="00CF3958"/>
    <w:rsid w:val="00CF3C8D"/>
    <w:rsid w:val="00CF6CA2"/>
    <w:rsid w:val="00D048CD"/>
    <w:rsid w:val="00D05384"/>
    <w:rsid w:val="00D07A34"/>
    <w:rsid w:val="00D10892"/>
    <w:rsid w:val="00D13641"/>
    <w:rsid w:val="00D13773"/>
    <w:rsid w:val="00D13778"/>
    <w:rsid w:val="00D141A9"/>
    <w:rsid w:val="00D14CA5"/>
    <w:rsid w:val="00D16457"/>
    <w:rsid w:val="00D22490"/>
    <w:rsid w:val="00D22944"/>
    <w:rsid w:val="00D321D4"/>
    <w:rsid w:val="00D32284"/>
    <w:rsid w:val="00D35A57"/>
    <w:rsid w:val="00D35B0E"/>
    <w:rsid w:val="00D413EC"/>
    <w:rsid w:val="00D472EA"/>
    <w:rsid w:val="00D542A2"/>
    <w:rsid w:val="00D70935"/>
    <w:rsid w:val="00D74E1F"/>
    <w:rsid w:val="00D8236C"/>
    <w:rsid w:val="00D83127"/>
    <w:rsid w:val="00D90FBB"/>
    <w:rsid w:val="00D92C70"/>
    <w:rsid w:val="00D947B6"/>
    <w:rsid w:val="00D95465"/>
    <w:rsid w:val="00D95EB3"/>
    <w:rsid w:val="00DA783D"/>
    <w:rsid w:val="00DB0F8E"/>
    <w:rsid w:val="00DC68A8"/>
    <w:rsid w:val="00DD0F62"/>
    <w:rsid w:val="00DD0FAC"/>
    <w:rsid w:val="00DD637B"/>
    <w:rsid w:val="00DE1878"/>
    <w:rsid w:val="00DE46BC"/>
    <w:rsid w:val="00DE7BAB"/>
    <w:rsid w:val="00DF16E7"/>
    <w:rsid w:val="00DF234D"/>
    <w:rsid w:val="00DF2B2F"/>
    <w:rsid w:val="00DF2F95"/>
    <w:rsid w:val="00DF6FA6"/>
    <w:rsid w:val="00E04226"/>
    <w:rsid w:val="00E06A02"/>
    <w:rsid w:val="00E121BC"/>
    <w:rsid w:val="00E23522"/>
    <w:rsid w:val="00E31E09"/>
    <w:rsid w:val="00E3301E"/>
    <w:rsid w:val="00E3583E"/>
    <w:rsid w:val="00E439F6"/>
    <w:rsid w:val="00E47051"/>
    <w:rsid w:val="00E50028"/>
    <w:rsid w:val="00E50583"/>
    <w:rsid w:val="00E55FDE"/>
    <w:rsid w:val="00E5780A"/>
    <w:rsid w:val="00E61597"/>
    <w:rsid w:val="00E61F8C"/>
    <w:rsid w:val="00E6461E"/>
    <w:rsid w:val="00E707D7"/>
    <w:rsid w:val="00E765DD"/>
    <w:rsid w:val="00E80029"/>
    <w:rsid w:val="00E80827"/>
    <w:rsid w:val="00E84774"/>
    <w:rsid w:val="00E9414F"/>
    <w:rsid w:val="00E95956"/>
    <w:rsid w:val="00E97DF3"/>
    <w:rsid w:val="00EA12A5"/>
    <w:rsid w:val="00EA198F"/>
    <w:rsid w:val="00EB152B"/>
    <w:rsid w:val="00EB5B5E"/>
    <w:rsid w:val="00EC17FA"/>
    <w:rsid w:val="00EC7FE1"/>
    <w:rsid w:val="00EF5EA8"/>
    <w:rsid w:val="00F0031C"/>
    <w:rsid w:val="00F03CAE"/>
    <w:rsid w:val="00F11DE1"/>
    <w:rsid w:val="00F124DA"/>
    <w:rsid w:val="00F13CDF"/>
    <w:rsid w:val="00F1444C"/>
    <w:rsid w:val="00F157B6"/>
    <w:rsid w:val="00F22F26"/>
    <w:rsid w:val="00F24F89"/>
    <w:rsid w:val="00F25ED5"/>
    <w:rsid w:val="00F30999"/>
    <w:rsid w:val="00F3208A"/>
    <w:rsid w:val="00F3407C"/>
    <w:rsid w:val="00F40CCF"/>
    <w:rsid w:val="00F42230"/>
    <w:rsid w:val="00F513AC"/>
    <w:rsid w:val="00F52661"/>
    <w:rsid w:val="00F55F8E"/>
    <w:rsid w:val="00F6076C"/>
    <w:rsid w:val="00F65C80"/>
    <w:rsid w:val="00F65D96"/>
    <w:rsid w:val="00F669D9"/>
    <w:rsid w:val="00F7077C"/>
    <w:rsid w:val="00F812EF"/>
    <w:rsid w:val="00F81D8B"/>
    <w:rsid w:val="00F82766"/>
    <w:rsid w:val="00F85BEC"/>
    <w:rsid w:val="00F93B0A"/>
    <w:rsid w:val="00FA0CF3"/>
    <w:rsid w:val="00FB0677"/>
    <w:rsid w:val="00FB514C"/>
    <w:rsid w:val="00FB6F3A"/>
    <w:rsid w:val="00FB7060"/>
    <w:rsid w:val="00FC6F8D"/>
    <w:rsid w:val="00FD0050"/>
    <w:rsid w:val="00FD1199"/>
    <w:rsid w:val="00FD4B73"/>
    <w:rsid w:val="00FD7CC9"/>
    <w:rsid w:val="00FE146F"/>
    <w:rsid w:val="00FE4ABC"/>
    <w:rsid w:val="00FF36FD"/>
    <w:rsid w:val="02590615"/>
    <w:rsid w:val="043E3C74"/>
    <w:rsid w:val="105E57A4"/>
    <w:rsid w:val="13B93A6A"/>
    <w:rsid w:val="17F7463F"/>
    <w:rsid w:val="1A455938"/>
    <w:rsid w:val="1B230875"/>
    <w:rsid w:val="1C4A0E21"/>
    <w:rsid w:val="20061967"/>
    <w:rsid w:val="21415B4F"/>
    <w:rsid w:val="214241F5"/>
    <w:rsid w:val="23DC718C"/>
    <w:rsid w:val="245B5BB1"/>
    <w:rsid w:val="258B7D19"/>
    <w:rsid w:val="2BCC1D84"/>
    <w:rsid w:val="30D44E79"/>
    <w:rsid w:val="336C15BF"/>
    <w:rsid w:val="33EC4338"/>
    <w:rsid w:val="34EE7B71"/>
    <w:rsid w:val="357D2CBD"/>
    <w:rsid w:val="37CF7EDF"/>
    <w:rsid w:val="38480F57"/>
    <w:rsid w:val="38801817"/>
    <w:rsid w:val="39FD369C"/>
    <w:rsid w:val="3C441B1A"/>
    <w:rsid w:val="3FA2380B"/>
    <w:rsid w:val="443912C8"/>
    <w:rsid w:val="495F6401"/>
    <w:rsid w:val="4AEC7B3E"/>
    <w:rsid w:val="56195DD5"/>
    <w:rsid w:val="5F32453C"/>
    <w:rsid w:val="619D4782"/>
    <w:rsid w:val="67B538C0"/>
    <w:rsid w:val="68335985"/>
    <w:rsid w:val="6BA936A1"/>
    <w:rsid w:val="6C8B5B11"/>
    <w:rsid w:val="7380183E"/>
    <w:rsid w:val="7D2738AB"/>
    <w:rsid w:val="7EFD579C"/>
    <w:rsid w:val="7FE3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7"/>
    <w:semiHidden/>
    <w:unhideWhenUsed/>
    <w:qFormat/>
    <w:uiPriority w:val="0"/>
    <w:pPr>
      <w:jc w:val="left"/>
    </w:p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szCs w:val="22"/>
    </w:rPr>
  </w:style>
  <w:style w:type="paragraph" w:styleId="8">
    <w:name w:val="Balloon Text"/>
    <w:basedOn w:val="1"/>
    <w:link w:val="3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华文仿宋" w:hAnsi="华文仿宋" w:eastAsia="华文仿宋"/>
      <w:sz w:val="18"/>
      <w:szCs w:val="18"/>
    </w:rPr>
  </w:style>
  <w:style w:type="paragraph" w:styleId="11">
    <w:name w:val="toc 1"/>
    <w:basedOn w:val="1"/>
    <w:next w:val="1"/>
    <w:qFormat/>
    <w:uiPriority w:val="39"/>
  </w:style>
  <w:style w:type="paragraph" w:styleId="12">
    <w:name w:val="toc 2"/>
    <w:basedOn w:val="1"/>
    <w:next w:val="1"/>
    <w:autoRedefine/>
    <w:unhideWhenUsed/>
    <w:qFormat/>
    <w:uiPriority w:val="39"/>
    <w:pPr>
      <w:ind w:left="420" w:leftChars="200"/>
    </w:pPr>
  </w:style>
  <w:style w:type="paragraph" w:styleId="1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38"/>
    <w:semiHidden/>
    <w:unhideWhenUsed/>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uiPriority w:val="0"/>
    <w:rPr>
      <w:sz w:val="21"/>
      <w:szCs w:val="21"/>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22">
    <w:name w:val="List Paragraph"/>
    <w:basedOn w:val="1"/>
    <w:qFormat/>
    <w:uiPriority w:val="99"/>
    <w:pPr>
      <w:ind w:firstLine="420" w:firstLineChars="200"/>
    </w:pPr>
  </w:style>
  <w:style w:type="character" w:customStyle="1" w:styleId="23">
    <w:name w:val="font61"/>
    <w:basedOn w:val="17"/>
    <w:qFormat/>
    <w:uiPriority w:val="0"/>
    <w:rPr>
      <w:rFonts w:hint="eastAsia" w:ascii="黑体" w:hAnsi="宋体" w:eastAsia="黑体" w:cs="黑体"/>
      <w:color w:val="000000"/>
      <w:sz w:val="24"/>
      <w:szCs w:val="24"/>
      <w:u w:val="none"/>
    </w:rPr>
  </w:style>
  <w:style w:type="character" w:customStyle="1" w:styleId="24">
    <w:name w:val="font51"/>
    <w:basedOn w:val="17"/>
    <w:qFormat/>
    <w:uiPriority w:val="0"/>
    <w:rPr>
      <w:rFonts w:hint="eastAsia" w:ascii="黑体" w:hAnsi="宋体" w:eastAsia="黑体" w:cs="黑体"/>
      <w:color w:val="000000"/>
      <w:sz w:val="22"/>
      <w:szCs w:val="22"/>
      <w:u w:val="none"/>
    </w:rPr>
  </w:style>
  <w:style w:type="character" w:customStyle="1" w:styleId="25">
    <w:name w:val="表头 Char"/>
    <w:link w:val="26"/>
    <w:qFormat/>
    <w:uiPriority w:val="0"/>
    <w:rPr>
      <w:rFonts w:eastAsia="仿宋"/>
      <w:b/>
      <w:szCs w:val="24"/>
    </w:rPr>
  </w:style>
  <w:style w:type="paragraph" w:customStyle="1" w:styleId="26">
    <w:name w:val="表头"/>
    <w:basedOn w:val="1"/>
    <w:link w:val="25"/>
    <w:qFormat/>
    <w:uiPriority w:val="0"/>
    <w:pPr>
      <w:jc w:val="center"/>
    </w:pPr>
    <w:rPr>
      <w:rFonts w:ascii="Times New Roman" w:hAnsi="Times New Roman" w:eastAsia="仿宋" w:cs="Times New Roman"/>
      <w:b/>
      <w:kern w:val="0"/>
      <w:sz w:val="20"/>
    </w:rPr>
  </w:style>
  <w:style w:type="paragraph" w:customStyle="1" w:styleId="27">
    <w:name w:val="表格内容"/>
    <w:basedOn w:val="1"/>
    <w:next w:val="1"/>
    <w:qFormat/>
    <w:uiPriority w:val="0"/>
    <w:pPr>
      <w:tabs>
        <w:tab w:val="left" w:pos="0"/>
      </w:tabs>
      <w:jc w:val="center"/>
    </w:pPr>
    <w:rPr>
      <w:rFonts w:ascii="Times New Roman" w:hAnsi="Times New Roman" w:eastAsia="仿宋"/>
      <w:szCs w:val="21"/>
    </w:rPr>
  </w:style>
  <w:style w:type="character" w:customStyle="1" w:styleId="28">
    <w:name w:val="标题 3 字符"/>
    <w:basedOn w:val="17"/>
    <w:link w:val="4"/>
    <w:semiHidden/>
    <w:qFormat/>
    <w:uiPriority w:val="0"/>
    <w:rPr>
      <w:rFonts w:asciiTheme="minorHAnsi" w:hAnsiTheme="minorHAnsi" w:eastAsiaTheme="minorEastAsia" w:cstheme="minorBidi"/>
      <w:b/>
      <w:bCs/>
      <w:kern w:val="2"/>
      <w:sz w:val="32"/>
      <w:szCs w:val="32"/>
    </w:rPr>
  </w:style>
  <w:style w:type="paragraph" w:customStyle="1" w:styleId="29">
    <w:name w:val="标准文件_段"/>
    <w:link w:val="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准文件_段 Char"/>
    <w:link w:val="29"/>
    <w:qFormat/>
    <w:uiPriority w:val="0"/>
    <w:rPr>
      <w:rFonts w:ascii="宋体"/>
      <w:sz w:val="21"/>
    </w:rPr>
  </w:style>
  <w:style w:type="character" w:customStyle="1" w:styleId="31">
    <w:name w:val="批注框文本 字符"/>
    <w:basedOn w:val="17"/>
    <w:link w:val="8"/>
    <w:qFormat/>
    <w:uiPriority w:val="0"/>
    <w:rPr>
      <w:rFonts w:asciiTheme="minorHAnsi" w:hAnsiTheme="minorHAnsi" w:eastAsiaTheme="minorEastAsia" w:cstheme="minorBidi"/>
      <w:kern w:val="2"/>
      <w:sz w:val="18"/>
      <w:szCs w:val="18"/>
    </w:rPr>
  </w:style>
  <w:style w:type="character" w:customStyle="1" w:styleId="32">
    <w:name w:val="标题 1 字符"/>
    <w:basedOn w:val="17"/>
    <w:link w:val="3"/>
    <w:qFormat/>
    <w:uiPriority w:val="0"/>
    <w:rPr>
      <w:rFonts w:asciiTheme="minorHAnsi" w:hAnsiTheme="minorHAnsi" w:eastAsiaTheme="minorEastAsia" w:cstheme="minorBidi"/>
      <w:b/>
      <w:bCs/>
      <w:kern w:val="44"/>
      <w:sz w:val="44"/>
      <w:szCs w:val="44"/>
    </w:rPr>
  </w:style>
  <w:style w:type="character" w:customStyle="1" w:styleId="33">
    <w:name w:val="标题 2 字符"/>
    <w:link w:val="2"/>
    <w:qFormat/>
    <w:uiPriority w:val="0"/>
    <w:rPr>
      <w:rFonts w:ascii="宋体" w:hAnsi="宋体"/>
      <w:b/>
      <w:sz w:val="36"/>
      <w:szCs w:val="36"/>
    </w:rPr>
  </w:style>
  <w:style w:type="character" w:customStyle="1" w:styleId="34">
    <w:name w:val="标题 4 字符"/>
    <w:basedOn w:val="17"/>
    <w:link w:val="5"/>
    <w:semiHidden/>
    <w:qFormat/>
    <w:uiPriority w:val="9"/>
    <w:rPr>
      <w:rFonts w:asciiTheme="majorHAnsi" w:hAnsiTheme="majorHAnsi" w:eastAsiaTheme="majorEastAsia" w:cstheme="majorBidi"/>
      <w:b/>
      <w:bCs/>
      <w:kern w:val="2"/>
      <w:sz w:val="28"/>
      <w:szCs w:val="28"/>
    </w:rPr>
  </w:style>
  <w:style w:type="table" w:customStyle="1" w:styleId="35">
    <w:name w:val="网格型11"/>
    <w:basedOn w:val="15"/>
    <w:qFormat/>
    <w:uiPriority w:val="39"/>
    <w:pPr>
      <w:spacing w:after="200" w:line="276" w:lineRule="auto"/>
    </w:pPr>
    <w:rPr>
      <w:sz w:val="22"/>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批注文字 字符"/>
    <w:basedOn w:val="17"/>
    <w:link w:val="6"/>
    <w:semiHidden/>
    <w:uiPriority w:val="0"/>
    <w:rPr>
      <w:rFonts w:asciiTheme="minorHAnsi" w:hAnsiTheme="minorHAnsi" w:eastAsiaTheme="minorEastAsia" w:cstheme="minorBidi"/>
      <w:kern w:val="2"/>
      <w:sz w:val="21"/>
      <w:szCs w:val="24"/>
    </w:rPr>
  </w:style>
  <w:style w:type="character" w:customStyle="1" w:styleId="38">
    <w:name w:val="批注主题 字符"/>
    <w:basedOn w:val="37"/>
    <w:link w:val="14"/>
    <w:semiHidden/>
    <w:qFormat/>
    <w:uiPriority w:val="0"/>
    <w:rPr>
      <w:rFonts w:asciiTheme="minorHAnsi" w:hAnsiTheme="minorHAnsi" w:eastAsiaTheme="minorEastAsia" w:cstheme="minorBidi"/>
      <w:b/>
      <w:bCs/>
      <w:kern w:val="2"/>
      <w:sz w:val="21"/>
      <w:szCs w:val="24"/>
    </w:rPr>
  </w:style>
  <w:style w:type="paragraph" w:customStyle="1" w:styleId="39">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F6E85-8185-4D40-A903-76B00D6821EF}">
  <ds:schemaRefs/>
</ds:datastoreItem>
</file>

<file path=docProps/app.xml><?xml version="1.0" encoding="utf-8"?>
<Properties xmlns="http://schemas.openxmlformats.org/officeDocument/2006/extended-properties" xmlns:vt="http://schemas.openxmlformats.org/officeDocument/2006/docPropsVTypes">
  <Template>Normal</Template>
  <Company>cug</Company>
  <Pages>62</Pages>
  <Words>1526</Words>
  <Characters>1555</Characters>
  <Lines>294</Lines>
  <Paragraphs>83</Paragraphs>
  <TotalTime>1933</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2023-04-10T01:06:00Z</dcterms:created>
  <dc:creator>Secret、</dc:creator>
  <cp:lastModifiedBy>WPS_1493128140</cp:lastModifiedBy>
  <cp:lastPrinted>2023-08-17T07:37:00Z</cp:lastPrinted>
  <dcterms:modified xsi:type="dcterms:W3CDTF">2025-09-28T06:36:49Z</dcterms:modified>
  <dc:title>附件</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2CA37F466E4444EA8BF1ADE652C207F6</vt:lpwstr>
  </property>
  <property fmtid="{D5CDD505-2E9C-101B-9397-08002B2CF9AE}" pid="4" name="KSOTemplateDocerSaveRecord">
    <vt:lpwstr>eyJoZGlkIjoiYzM0N2JhMGU2NjdkMjBjMzRjZTJjOTU3ZDEzMGQ4ZTMiLCJ1c2VySWQiOiIyNzY5NDUyMzEifQ==</vt:lpwstr>
  </property>
</Properties>
</file>