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64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</w:p>
    <w:p>
      <w:pPr>
        <w:pStyle w:val="5"/>
        <w:widowControl/>
        <w:spacing w:beforeAutospacing="0" w:afterAutospacing="0" w:line="64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自治区生态环境行政处罚自由裁量权</w:t>
      </w:r>
    </w:p>
    <w:p>
      <w:pPr>
        <w:pStyle w:val="5"/>
        <w:widowControl/>
        <w:spacing w:beforeAutospacing="0" w:afterAutospacing="0" w:line="64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标准适用规则</w:t>
      </w:r>
    </w:p>
    <w:p>
      <w:pPr>
        <w:pStyle w:val="5"/>
        <w:widowControl/>
        <w:spacing w:beforeAutospacing="0" w:afterAutospacing="0" w:line="360" w:lineRule="auto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5"/>
        <w:widowControl/>
        <w:spacing w:beforeAutospacing="0" w:afterAutospacing="0" w:line="58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_GB2312" w:eastAsia="仿宋_GB2312" w:cs="宋体"/>
          <w:sz w:val="32"/>
          <w:szCs w:val="32"/>
        </w:rPr>
        <w:t>为推进依法行政，进一步规范全区生态环境行政执法行为和行政处罚自由裁量权行使，保护公民、法人或者其他组织的合法权益，根据《中华人民共和国行政处罚法》《生态环境行政处罚办法》、生态环境部《关于进一步规范适用环境行政处罚自由裁量权的指导意见》（环执法〔2019〕42号）和《宁夏回族自治区规范行政裁量权办法》（宁政发〔2012〕27号）的有关规定，结合自治区实际，制定本规则。</w:t>
      </w:r>
    </w:p>
    <w:p>
      <w:pPr>
        <w:pStyle w:val="5"/>
        <w:widowControl/>
        <w:spacing w:beforeAutospacing="0" w:afterAutospacing="0" w:line="58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 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_GB2312" w:eastAsia="仿宋_GB2312" w:cs="宋体"/>
          <w:sz w:val="32"/>
          <w:szCs w:val="32"/>
        </w:rPr>
        <w:t>全区各级生态环境主管部门在适用《自治区生态环境行政处罚自由裁量权适用标准》（以下简称《裁量标准》）及之后出台的相关裁量标准时均应在裁量标准的基础上参照本规则，作出具体的行政处罚决定。</w:t>
      </w:r>
    </w:p>
    <w:p>
      <w:pPr>
        <w:pStyle w:val="5"/>
        <w:widowControl/>
        <w:spacing w:beforeAutospacing="0" w:afterAutospacing="0" w:line="58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 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_GB2312" w:eastAsia="仿宋_GB2312" w:cs="宋体"/>
          <w:sz w:val="32"/>
          <w:szCs w:val="32"/>
        </w:rPr>
        <w:t>生态环境行政处罚裁量权，是指各级生态环境主管部门在查处生态环境违法行为时，依据法律、法规和规章的规定，酌情决定对违法行为人是否处罚、处罚种类和处罚幅度的权限。</w:t>
      </w: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spacing w:line="58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  </w:t>
      </w:r>
      <w:r>
        <w:rPr>
          <w:rFonts w:hint="eastAsia" w:ascii="仿宋_GB2312" w:eastAsia="仿宋_GB2312" w:cs="宋体"/>
          <w:kern w:val="0"/>
          <w:sz w:val="32"/>
          <w:szCs w:val="32"/>
        </w:rPr>
        <w:t>生态环境主管部门应当在法律、法规、规章确定的裁量条件、种类、范围、幅度内行使行政处罚自由裁量权。</w:t>
      </w:r>
    </w:p>
    <w:p>
      <w:pPr>
        <w:spacing w:line="58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生态环境主管部门在行使行政处罚自由裁量权时，应当符合立法目的，充分考虑、全面衡量地区经济社会发展状况、执法对象情况、危害后果等相关因素，所采取的措施和手段应当必要、适当。</w:t>
      </w:r>
    </w:p>
    <w:p>
      <w:pPr>
        <w:spacing w:line="58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生态环境主管部门在行使行政处罚自由裁量权时，必须以事实为依据，处罚种类和幅度应当与当事人违法过错程度相适应，与环境违法行为的性质、情节以及社会危害程度相当。</w:t>
      </w:r>
    </w:p>
    <w:p>
      <w:pPr>
        <w:spacing w:line="58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对于违法事实、性质、情节、社会危害后果等因素基本相同或相近的违法行为，在实施生态环境行政处罚时，适用的法律依据、处罚种类及处罚幅度应当基本相同。</w:t>
      </w:r>
    </w:p>
    <w:p>
      <w:pPr>
        <w:spacing w:line="58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第五条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kern w:val="0"/>
          <w:sz w:val="32"/>
          <w:szCs w:val="32"/>
        </w:rPr>
        <w:t>同一个违法行为违反不同法律、行政法规或部门规章规定的，在适用具体法律条文时应当遵循下列原则：</w:t>
      </w:r>
    </w:p>
    <w:p>
      <w:pPr>
        <w:spacing w:line="58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（一）下位法服从上位法，上位法律规范优先适用；</w:t>
      </w:r>
    </w:p>
    <w:p>
      <w:pPr>
        <w:spacing w:line="58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（二）同位法律规范有特别规定的优先适用；</w:t>
      </w:r>
    </w:p>
    <w:p>
      <w:pPr>
        <w:spacing w:line="58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（三）同位法律规范生效时间在后的优先适用。</w:t>
      </w:r>
    </w:p>
    <w:p>
      <w:pPr>
        <w:pStyle w:val="5"/>
        <w:widowControl/>
        <w:spacing w:beforeAutospacing="0" w:afterAutospacing="0" w:line="580" w:lineRule="exact"/>
        <w:ind w:firstLine="64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 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_GB2312" w:eastAsia="仿宋_GB2312" w:cs="宋体"/>
          <w:sz w:val="32"/>
          <w:szCs w:val="32"/>
        </w:rPr>
        <w:t>对法律、法规、规章规定可以单处也可以并处行政处罚的，其违法行为事实、性质、情节和社会危害程度一般的适用单处行政处罚；其违法行为事实、性质、情节和社会危害程度较重的适用并处行政处罚。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第七条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kern w:val="0"/>
          <w:sz w:val="32"/>
          <w:szCs w:val="32"/>
        </w:rPr>
        <w:t>生态环境行政处罚自由裁量权的行使，应当综合、全面考虑以下情节：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1.环境违法行为造成的环境污染、生态破坏程度以及社会影响；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2.环境违法行为人的主观过错程度；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3.环境违法行为的具体方法或者手段；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4.改正环境违法行为的态度和所采取的改正措施及其效果；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5.环境违法行为人是初犯还是再犯；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6.环境违法行为危害的具体对象。</w:t>
      </w:r>
    </w:p>
    <w:p>
      <w:pPr>
        <w:pStyle w:val="5"/>
        <w:widowControl/>
        <w:spacing w:beforeAutospacing="0" w:afterAutospacing="0" w:line="580" w:lineRule="exact"/>
        <w:ind w:firstLine="64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第八条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sz w:val="32"/>
          <w:szCs w:val="32"/>
        </w:rPr>
        <w:t>当事人具有下列情形之一的，可以从重处罚：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1.两年内因同类环境违法行为被处罚3次（含3次）以上的；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2.重污染天气预警期间超标排放大气污染物的；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3.在案件查处过程中对执法人员进行威胁、辱骂、殴打、恐吓或者打击报复的；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4.环境违法行为造成跨行政区域环境污染的；</w:t>
      </w:r>
    </w:p>
    <w:p>
      <w:pPr>
        <w:pStyle w:val="5"/>
        <w:widowControl/>
        <w:spacing w:before="75" w:beforeAutospacing="0" w:afterAutospacing="0" w:line="58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5.环境违法行为引起不良社会反响的；</w:t>
      </w:r>
    </w:p>
    <w:p>
      <w:pPr>
        <w:pStyle w:val="5"/>
        <w:widowControl/>
        <w:spacing w:before="75" w:beforeAutospacing="0" w:afterAutospacing="0" w:line="58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6.其它具有从重情节的。</w:t>
      </w:r>
    </w:p>
    <w:p>
      <w:pPr>
        <w:pStyle w:val="5"/>
        <w:widowControl/>
        <w:spacing w:beforeAutospacing="0" w:afterAutospacing="0" w:line="580" w:lineRule="exact"/>
        <w:ind w:firstLine="64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第九条 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sz w:val="32"/>
          <w:szCs w:val="32"/>
        </w:rPr>
        <w:t>当事人具有下列情形之一的，应当依法从轻或减轻行政处罚：</w:t>
      </w:r>
    </w:p>
    <w:p>
      <w:pPr>
        <w:pStyle w:val="5"/>
        <w:widowControl/>
        <w:spacing w:beforeAutospacing="0" w:afterAutospacing="0" w:line="580" w:lineRule="exact"/>
        <w:ind w:firstLine="641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1.主动消除或者减轻环境违法行为危害后果的；</w:t>
      </w:r>
    </w:p>
    <w:p>
      <w:pPr>
        <w:pStyle w:val="5"/>
        <w:widowControl/>
        <w:spacing w:beforeAutospacing="0" w:afterAutospacing="0" w:line="580" w:lineRule="exact"/>
        <w:ind w:firstLine="641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2.受他人胁迫实施环境违法行为的；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3.积极配合生态环境主管部门查处环境违法行为有立功表现的；</w:t>
      </w:r>
    </w:p>
    <w:p>
      <w:pPr>
        <w:pStyle w:val="5"/>
        <w:widowControl/>
        <w:spacing w:beforeAutospacing="0" w:afterAutospacing="0" w:line="580" w:lineRule="exact"/>
        <w:ind w:firstLine="64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4.其他依法应当从轻或减轻行政处罚的。</w:t>
      </w:r>
    </w:p>
    <w:p>
      <w:pPr>
        <w:pStyle w:val="5"/>
        <w:widowControl/>
        <w:spacing w:beforeAutospacing="0" w:afterAutospacing="0" w:line="580" w:lineRule="exact"/>
        <w:ind w:firstLine="64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第十条 </w:t>
      </w:r>
      <w:bookmarkStart w:id="0" w:name="_Hlk146041107"/>
      <w:r>
        <w:rPr>
          <w:rFonts w:hint="eastAsia" w:ascii="仿宋_GB2312" w:eastAsia="仿宋_GB2312" w:cs="宋体"/>
          <w:sz w:val="32"/>
          <w:szCs w:val="32"/>
        </w:rPr>
        <w:t>当事人具有下列情形之一的，可以不予</w:t>
      </w:r>
      <w:r>
        <w:rPr>
          <w:rFonts w:hint="eastAsia" w:ascii="仿宋_GB2312" w:eastAsia="仿宋_GB2312" w:cs="宋体"/>
          <w:sz w:val="32"/>
          <w:szCs w:val="32"/>
        </w:rPr>
        <w:t>行政处罚：</w:t>
      </w:r>
    </w:p>
    <w:bookmarkEnd w:id="0"/>
    <w:p>
      <w:pPr>
        <w:pStyle w:val="5"/>
        <w:widowControl/>
        <w:spacing w:beforeAutospacing="0" w:afterAutospacing="0" w:line="580" w:lineRule="exact"/>
        <w:ind w:firstLine="64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1.违法行为未造成环境污染后果，且企业自行实施关停或者实施停止建设、停止生产等措施的；</w:t>
      </w:r>
    </w:p>
    <w:p>
      <w:pPr>
        <w:pStyle w:val="5"/>
        <w:widowControl/>
        <w:spacing w:beforeAutospacing="0" w:afterAutospacing="0" w:line="580" w:lineRule="exact"/>
        <w:ind w:firstLine="64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2.违法行为持续时间短、污染小且当日完成整改的；</w:t>
      </w:r>
    </w:p>
    <w:p>
      <w:pPr>
        <w:pStyle w:val="5"/>
        <w:widowControl/>
        <w:spacing w:beforeAutospacing="0" w:afterAutospacing="0" w:line="580" w:lineRule="exact"/>
        <w:ind w:firstLine="64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3.其他违法行为轻微并及时纠正，没有造成危害后果的。</w:t>
      </w:r>
    </w:p>
    <w:p>
      <w:pPr>
        <w:pStyle w:val="5"/>
        <w:widowControl/>
        <w:spacing w:beforeAutospacing="0" w:afterAutospacing="0" w:line="580" w:lineRule="exact"/>
        <w:ind w:firstLine="64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第十一条  </w:t>
      </w:r>
      <w:r>
        <w:rPr>
          <w:rFonts w:hint="eastAsia" w:ascii="仿宋_GB2312" w:eastAsia="仿宋_GB2312" w:cs="宋体"/>
          <w:sz w:val="32"/>
          <w:szCs w:val="32"/>
        </w:rPr>
        <w:t>调查机构在案件调查终结报告中，建议不予行政处罚、减轻处罚、从轻处罚、从重处罚的，要说明理由并附相应的证据材料。</w:t>
      </w:r>
    </w:p>
    <w:p>
      <w:pPr>
        <w:pStyle w:val="5"/>
        <w:widowControl/>
        <w:spacing w:beforeAutospacing="0" w:afterAutospacing="0" w:line="580" w:lineRule="exact"/>
        <w:ind w:firstLine="64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案件调查机构提出行政处罚建议后，由本单位法制机构进行审核。如未按照本条第一款规定说明理由并附相应证据材料的，或者相应的证据材料不足的，法制机构退回调查机构补正。</w:t>
      </w:r>
    </w:p>
    <w:p>
      <w:pPr>
        <w:pStyle w:val="5"/>
        <w:widowControl/>
        <w:spacing w:before="75"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主管部门及其受委托组织在行使行政处罚自由裁量权时，应当充分听取当事人的陈述、申辩意见，对当事人的申辩意见是否采纳以及处罚决定中有关从重、从轻、减轻处罚的理由应当在《行政处罚决定书》中予以载明。</w:t>
      </w:r>
    </w:p>
    <w:p>
      <w:pPr>
        <w:pStyle w:val="5"/>
        <w:widowControl/>
        <w:spacing w:before="75" w:beforeAutospacing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黑体" w:hAnsi="黑体" w:eastAsia="黑体" w:cs="黑体"/>
          <w:color w:val="FF0000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当事人具有下列情形之一的，可以认定为验收弄虚作假：</w:t>
      </w:r>
    </w:p>
    <w:p>
      <w:pPr>
        <w:pStyle w:val="5"/>
        <w:widowControl/>
        <w:spacing w:before="75" w:beforeAutospacing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验收报告中伪造或篡改环评审批情况、排污许可证申领情况、建设工程信息、主要污染物信息、环境保护设施安装运行及自动监测设施安装联网情况等信息的；</w:t>
      </w:r>
    </w:p>
    <w:p>
      <w:pPr>
        <w:pStyle w:val="5"/>
        <w:widowControl/>
        <w:spacing w:before="75" w:beforeAutospacing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2.验收报告中缺失项目变动情况、环评文件报批情况、环境保护设施建设情况、调试运行情况等关键内容的；</w:t>
      </w:r>
    </w:p>
    <w:p>
      <w:pPr>
        <w:pStyle w:val="5"/>
        <w:widowControl/>
        <w:spacing w:before="75" w:beforeAutospacing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3.建设项目的性质、规模、地点、采用的生产工艺或者防治污染、防止生态破坏的措施明显发生重大变动，仍给出不属于重大变动结论的；</w:t>
      </w:r>
    </w:p>
    <w:p>
      <w:pPr>
        <w:pStyle w:val="5"/>
        <w:widowControl/>
        <w:spacing w:before="75" w:beforeAutospacing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4.主要污染物排放不符合国家和地方相关标准、环评文件及批复文件或者国家总量控制要求，仍认定达标排放或环境质量达验收标准的； </w:t>
      </w:r>
    </w:p>
    <w:p>
      <w:pPr>
        <w:pStyle w:val="5"/>
        <w:widowControl/>
        <w:spacing w:before="75" w:beforeAutospacing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5.伪造或篡改验收报告所附主要证明或支持材料的；</w:t>
      </w:r>
    </w:p>
    <w:p>
      <w:pPr>
        <w:pStyle w:val="5"/>
        <w:widowControl/>
        <w:spacing w:before="75" w:beforeAutospacing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6.存在《环境监测数据弄虚作假行为判定及处理办法》第四条、第五条及第六条所列篡改、伪造监测数据行为的。 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bookmarkStart w:id="1" w:name="_Hlk14604100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第十四条</w:t>
      </w:r>
      <w:bookmarkEnd w:id="1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重大生态环境行政处罚案件或减轻处罚等案件应当经集体讨论决定，并做好案件集体讨论记录。</w:t>
      </w:r>
    </w:p>
    <w:p>
      <w:pPr>
        <w:pStyle w:val="5"/>
        <w:widowControl/>
        <w:spacing w:beforeAutospacing="0" w:afterAutospacing="0" w:line="58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第十五条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本标准中所称“从轻”是指在《裁量标准》适用档次内以较轻或者较小处罚额度（类别）给予处罚。“减轻”是指在《裁量标准》适用档次的基础上降低阶次给予处罚。</w:t>
      </w:r>
    </w:p>
    <w:p>
      <w:pPr>
        <w:pStyle w:val="5"/>
        <w:widowControl/>
        <w:spacing w:beforeAutospacing="0" w:afterAutospacing="0" w:line="58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本标准中所称“从重”是指在《裁量标准》适用档次内以严重或者较大处罚额度（类别）给予处罚。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第十六条 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裁量标准》中所称“拒不改正”是指两年内，同一违法行为受到三次（含）以上行政处罚或者责令限期改正，在限期内不改正的行为。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《裁量标准》中所称“两年内”是指连续两个自然年度内违反生态环境法律、法规、规章应受到行政处罚的违法行为。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《裁量标准》中所称“以上”、“以下”均包括本数，“以内”不包含本数。</w:t>
      </w:r>
    </w:p>
    <w:p>
      <w:pPr>
        <w:pStyle w:val="5"/>
        <w:widowControl/>
        <w:spacing w:before="75" w:beforeAutospacing="0" w:afterAutospacing="0" w:line="58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第十七条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与法律、法规、规章规定不一致的，适用法律、法规、规章规定。</w:t>
      </w:r>
    </w:p>
    <w:p>
      <w:pPr>
        <w:pStyle w:val="5"/>
        <w:widowControl/>
        <w:spacing w:before="75" w:beforeAutospacing="0" w:afterAutospacing="0" w:line="58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第十八条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由自治区生态环境厅负责解释。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第十九条 </w:t>
      </w:r>
      <w:r>
        <w:rPr>
          <w:rFonts w:hint="eastAsia" w:ascii="黑体" w:hAnsi="黑体" w:eastAsia="黑体" w:cs="黑体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本标准自202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日起施行,有效期五年。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原《关于印发〈自治区生态环境行政处罚自由裁量权适用标准〉的通知》（宁环规发〔202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自本标准施行之日起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废止。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A3485"/>
    <w:rsid w:val="00132F1E"/>
    <w:rsid w:val="00160E9B"/>
    <w:rsid w:val="00270A6F"/>
    <w:rsid w:val="00470B51"/>
    <w:rsid w:val="00560911"/>
    <w:rsid w:val="00663DB2"/>
    <w:rsid w:val="007D1201"/>
    <w:rsid w:val="008345F9"/>
    <w:rsid w:val="008B6ACA"/>
    <w:rsid w:val="00906816"/>
    <w:rsid w:val="009E1A3B"/>
    <w:rsid w:val="00BA101C"/>
    <w:rsid w:val="00BB7CC8"/>
    <w:rsid w:val="00E301A3"/>
    <w:rsid w:val="055314D6"/>
    <w:rsid w:val="123C40C5"/>
    <w:rsid w:val="12CB3B02"/>
    <w:rsid w:val="13C16550"/>
    <w:rsid w:val="18563D57"/>
    <w:rsid w:val="25353F0E"/>
    <w:rsid w:val="2C7A7D93"/>
    <w:rsid w:val="2EFE7087"/>
    <w:rsid w:val="2F5CCB6F"/>
    <w:rsid w:val="34AD1E94"/>
    <w:rsid w:val="63EA3485"/>
    <w:rsid w:val="64320070"/>
    <w:rsid w:val="65796FEE"/>
    <w:rsid w:val="6AD845C9"/>
    <w:rsid w:val="77CE0DFF"/>
    <w:rsid w:val="78CF7220"/>
    <w:rsid w:val="7D5662B4"/>
    <w:rsid w:val="7DF7BDF1"/>
    <w:rsid w:val="8965D32E"/>
    <w:rsid w:val="97D7A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385</Words>
  <Characters>2198</Characters>
  <Lines>18</Lines>
  <Paragraphs>5</Paragraphs>
  <TotalTime>19</TotalTime>
  <ScaleCrop>false</ScaleCrop>
  <LinksUpToDate>false</LinksUpToDate>
  <CharactersWithSpaces>2578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2019-01-11T02:09:00Z</dcterms:created>
  <dc:creator>王涛大成律师</dc:creator>
  <cp:lastModifiedBy>a02555</cp:lastModifiedBy>
  <cp:lastPrinted>2019-07-04T16:45:00Z</cp:lastPrinted>
  <dcterms:modified xsi:type="dcterms:W3CDTF">2025-02-08T10:45:55Z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RubyTemplateID" linkTarget="0">
    <vt:lpwstr>6</vt:lpwstr>
  </property>
</Properties>
</file>