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0C3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36"/>
          <w:szCs w:val="36"/>
        </w:rPr>
      </w:pPr>
    </w:p>
    <w:p w14:paraId="30D926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宁夏回族自治区主要污染物排污权指标</w:t>
      </w:r>
    </w:p>
    <w:p w14:paraId="4BEBB7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核算指南（</w:t>
      </w:r>
      <w:r>
        <w:rPr>
          <w:rFonts w:hint="eastAsia" w:ascii="方正小标宋_GBK" w:hAnsi="方正小标宋_GBK" w:eastAsia="方正小标宋_GBK" w:cs="方正小标宋_GBK"/>
          <w:b w:val="0"/>
          <w:bCs/>
          <w:color w:val="auto"/>
          <w:sz w:val="44"/>
          <w:szCs w:val="44"/>
          <w:lang w:eastAsia="zh-CN"/>
        </w:rPr>
        <w:t>征求意见稿</w:t>
      </w:r>
      <w:r>
        <w:rPr>
          <w:rFonts w:hint="eastAsia" w:ascii="方正小标宋_GBK" w:hAnsi="方正小标宋_GBK" w:eastAsia="方正小标宋_GBK" w:cs="方正小标宋_GBK"/>
          <w:b w:val="0"/>
          <w:bCs/>
          <w:color w:val="auto"/>
          <w:sz w:val="44"/>
          <w:szCs w:val="44"/>
        </w:rPr>
        <w:t>）</w:t>
      </w:r>
      <w:bookmarkStart w:id="0" w:name="_GoBack"/>
      <w:bookmarkEnd w:id="0"/>
    </w:p>
    <w:p w14:paraId="71A287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color w:val="auto"/>
          <w:sz w:val="36"/>
          <w:szCs w:val="36"/>
        </w:rPr>
      </w:pPr>
    </w:p>
    <w:p w14:paraId="7681012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进一步</w:t>
      </w:r>
      <w:r>
        <w:rPr>
          <w:rFonts w:hint="default" w:ascii="Times New Roman" w:hAnsi="Times New Roman" w:eastAsia="仿宋_GB2312" w:cs="Times New Roman"/>
          <w:color w:val="auto"/>
          <w:sz w:val="32"/>
          <w:szCs w:val="32"/>
        </w:rPr>
        <w:t>规范排污权指标核算和管理，根据《</w:t>
      </w:r>
      <w:r>
        <w:rPr>
          <w:rFonts w:hint="default" w:ascii="Times New Roman" w:hAnsi="Times New Roman" w:eastAsia="仿宋_GB2312" w:cs="Times New Roman"/>
          <w:color w:val="auto"/>
          <w:sz w:val="32"/>
          <w:szCs w:val="32"/>
          <w:lang w:eastAsia="zh-CN"/>
        </w:rPr>
        <w:t>宁夏回族</w:t>
      </w:r>
      <w:r>
        <w:rPr>
          <w:rFonts w:hint="default" w:ascii="Times New Roman" w:hAnsi="Times New Roman" w:eastAsia="仿宋_GB2312" w:cs="Times New Roman"/>
          <w:color w:val="auto"/>
          <w:sz w:val="32"/>
          <w:szCs w:val="32"/>
        </w:rPr>
        <w:t>自治区</w:t>
      </w:r>
      <w:r>
        <w:rPr>
          <w:rFonts w:hint="default" w:ascii="Times New Roman" w:hAnsi="Times New Roman" w:eastAsia="仿宋_GB2312" w:cs="Times New Roman"/>
          <w:color w:val="auto"/>
          <w:sz w:val="32"/>
          <w:szCs w:val="32"/>
          <w:lang w:eastAsia="zh-CN"/>
        </w:rPr>
        <w:t>排污权有偿使用和交易管理办法</w:t>
      </w:r>
      <w:r>
        <w:rPr>
          <w:rFonts w:hint="default" w:ascii="Times New Roman" w:hAnsi="Times New Roman" w:eastAsia="仿宋_GB2312" w:cs="Times New Roman"/>
          <w:color w:val="auto"/>
          <w:sz w:val="32"/>
          <w:szCs w:val="32"/>
        </w:rPr>
        <w:t>》（宁</w:t>
      </w:r>
      <w:r>
        <w:rPr>
          <w:rFonts w:hint="default" w:ascii="Times New Roman" w:hAnsi="Times New Roman" w:eastAsia="仿宋_GB2312" w:cs="Times New Roman"/>
          <w:color w:val="auto"/>
          <w:sz w:val="32"/>
          <w:szCs w:val="32"/>
          <w:lang w:eastAsia="zh-CN"/>
        </w:rPr>
        <w:t>环规发</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号）等</w:t>
      </w:r>
      <w:r>
        <w:rPr>
          <w:rFonts w:hint="default"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关要求，结合我区实际，制定本指南。</w:t>
      </w:r>
    </w:p>
    <w:p w14:paraId="39343B8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4DB570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第一章</w:t>
      </w:r>
      <w:r>
        <w:rPr>
          <w:rFonts w:hint="default" w:ascii="Times New Roman" w:hAnsi="Times New Roman" w:eastAsia="黑体" w:cs="Times New Roman"/>
          <w:color w:val="auto"/>
          <w:sz w:val="32"/>
          <w:szCs w:val="32"/>
          <w:lang w:val="en-US" w:eastAsia="zh-CN"/>
        </w:rPr>
        <w:t xml:space="preserve">  总  则</w:t>
      </w:r>
    </w:p>
    <w:p w14:paraId="3D9160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eastAsia="zh-CN"/>
        </w:rPr>
        <w:t>第一条</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eastAsia="zh-CN"/>
        </w:rPr>
        <w:t>核算对象。</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包括以下四类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一是现有排污单位初始排污权指标的核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。二是新（改、扩）建项目新增排污权指标的核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，即需要通过环境影响评价审批的新（改、扩）建项目新增排污权指标，或排污单位需要新增主要污染物排放量的核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；三是可交易排污权指标的核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，即依法取得排污权的排污单位通过开展技术改造、污染治理、清洁能源替代、结构调整关停淘汰等措施以及接受非生活污水的集中式水污染治理</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通过提标改造等方式形成的稳定的污染物减排量的核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；四是政府储备排污权的核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，即涉及政府</w:t>
      </w:r>
      <w:r>
        <w:rPr>
          <w:rFonts w:hint="default" w:ascii="Times New Roman" w:hAnsi="Times New Roman" w:eastAsia="仿宋_GB2312" w:cs="Times New Roman"/>
          <w:color w:val="auto"/>
          <w:sz w:val="32"/>
          <w:szCs w:val="32"/>
          <w:lang w:eastAsia="zh-CN"/>
        </w:rPr>
        <w:t>污染防治</w:t>
      </w:r>
      <w:r>
        <w:rPr>
          <w:rFonts w:hint="default" w:ascii="Times New Roman" w:hAnsi="Times New Roman" w:eastAsia="仿宋_GB2312" w:cs="Times New Roman"/>
          <w:color w:val="auto"/>
          <w:sz w:val="32"/>
          <w:szCs w:val="32"/>
        </w:rPr>
        <w:t>投资</w:t>
      </w:r>
      <w:r>
        <w:rPr>
          <w:rFonts w:hint="default" w:ascii="Times New Roman" w:hAnsi="Times New Roman" w:eastAsia="仿宋_GB2312" w:cs="Times New Roman"/>
          <w:color w:val="auto"/>
          <w:sz w:val="32"/>
          <w:szCs w:val="32"/>
          <w:lang w:eastAsia="zh-CN"/>
        </w:rPr>
        <w:t>地区</w:t>
      </w:r>
      <w:r>
        <w:rPr>
          <w:rFonts w:hint="default" w:ascii="Times New Roman" w:hAnsi="Times New Roman" w:eastAsia="仿宋_GB2312" w:cs="Times New Roman"/>
          <w:color w:val="auto"/>
          <w:sz w:val="32"/>
          <w:szCs w:val="32"/>
        </w:rPr>
        <w:t>的排污单位主要污染物总量减排项目形成的污染物减排量的核</w:t>
      </w:r>
      <w:r>
        <w:rPr>
          <w:rFonts w:hint="eastAsia"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w:t>
      </w:r>
    </w:p>
    <w:p w14:paraId="66FFB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val="en-US" w:eastAsia="zh-CN"/>
        </w:rPr>
        <w:t xml:space="preserve">第二条 </w:t>
      </w:r>
      <w:r>
        <w:rPr>
          <w:rFonts w:hint="default" w:ascii="Times New Roman" w:hAnsi="Times New Roman" w:eastAsia="楷体_GB2312" w:cs="Times New Roman"/>
          <w:b/>
          <w:bCs/>
          <w:color w:val="auto"/>
          <w:sz w:val="32"/>
          <w:szCs w:val="32"/>
          <w:lang w:eastAsia="zh-CN"/>
        </w:rPr>
        <w:t>基本原则。</w:t>
      </w:r>
    </w:p>
    <w:p w14:paraId="13F3E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主要污染物排污权指标核算应采取以资料审核与现场核查相结合的方式，确保资料真实反映排污单位的污染物排放情况。核算工作应坚持科学、公正、规范、客观的原则，使核算的排污权指标数据能够准确反映排污单位污染物排放量情况。</w:t>
      </w:r>
    </w:p>
    <w:p w14:paraId="6B135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对于存在污染治理设施不正常运转的、监测数据弄虚作假、超总量排污等环境违法行为的排污单位，在未完成整改要求前的不予核算新增排污权指标和可交易排污权指标；对于无实质性技改提升和污染治理改造，污染治理设施运行不稳定、关停淘汰佐证材料不齐全或其他不能稳定削减污染物排放量的排污单位，不予核算可交易排污权指标。</w:t>
      </w:r>
    </w:p>
    <w:p w14:paraId="6B428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第三条</w:t>
      </w:r>
      <w:r>
        <w:rPr>
          <w:rFonts w:hint="default" w:ascii="Times New Roman" w:hAnsi="Times New Roman" w:eastAsia="楷体_GB2312" w:cs="Times New Roman"/>
          <w:b/>
          <w:bCs/>
          <w:color w:val="auto"/>
          <w:sz w:val="32"/>
          <w:szCs w:val="32"/>
          <w:lang w:val="en-US" w:eastAsia="zh-CN"/>
        </w:rPr>
        <w:t xml:space="preserve"> 核算流程。</w:t>
      </w:r>
      <w:r>
        <w:rPr>
          <w:rFonts w:hint="default" w:ascii="Times New Roman" w:hAnsi="Times New Roman" w:eastAsia="仿宋_GB2312" w:cs="Times New Roman"/>
          <w:color w:val="auto"/>
          <w:sz w:val="32"/>
          <w:szCs w:val="32"/>
        </w:rPr>
        <w:t>主要污染物排污权指标核算和复核认定，由各级生态环境部门负责</w:t>
      </w:r>
      <w:r>
        <w:rPr>
          <w:rFonts w:hint="default" w:ascii="Times New Roman" w:hAnsi="Times New Roman" w:eastAsia="仿宋_GB2312" w:cs="Times New Roman"/>
          <w:color w:val="auto"/>
          <w:sz w:val="32"/>
          <w:szCs w:val="32"/>
          <w:lang w:eastAsia="zh-CN"/>
        </w:rPr>
        <w:t>。初始排污权和新增排污权由</w:t>
      </w:r>
      <w:r>
        <w:rPr>
          <w:rFonts w:hint="default" w:ascii="Times New Roman" w:hAnsi="Times New Roman" w:eastAsia="仿宋_GB2312" w:cs="Times New Roman"/>
          <w:color w:val="auto"/>
          <w:sz w:val="32"/>
          <w:szCs w:val="32"/>
        </w:rPr>
        <w:t>各地级市</w:t>
      </w:r>
      <w:r>
        <w:rPr>
          <w:rFonts w:hint="default" w:ascii="Times New Roman" w:hAnsi="Times New Roman" w:eastAsia="仿宋_GB2312" w:cs="Times New Roman"/>
          <w:color w:val="auto"/>
          <w:sz w:val="32"/>
          <w:szCs w:val="32"/>
          <w:lang w:eastAsia="zh-CN"/>
        </w:rPr>
        <w:t>（含宁东基地）</w:t>
      </w:r>
      <w:r>
        <w:rPr>
          <w:rFonts w:hint="default" w:ascii="Times New Roman" w:hAnsi="Times New Roman" w:eastAsia="仿宋_GB2312" w:cs="Times New Roman"/>
          <w:color w:val="auto"/>
          <w:sz w:val="32"/>
          <w:szCs w:val="32"/>
        </w:rPr>
        <w:t>生态环境部门</w:t>
      </w:r>
      <w:r>
        <w:rPr>
          <w:rFonts w:hint="default" w:ascii="Times New Roman" w:hAnsi="Times New Roman" w:eastAsia="仿宋_GB2312" w:cs="Times New Roman"/>
          <w:color w:val="auto"/>
          <w:sz w:val="32"/>
          <w:szCs w:val="32"/>
          <w:lang w:eastAsia="zh-CN"/>
        </w:rPr>
        <w:t>负责核定，</w:t>
      </w:r>
      <w:r>
        <w:rPr>
          <w:rFonts w:hint="default" w:ascii="Times New Roman" w:hAnsi="Times New Roman" w:eastAsia="仿宋_GB2312" w:cs="Times New Roman"/>
          <w:color w:val="auto"/>
          <w:sz w:val="32"/>
          <w:szCs w:val="32"/>
        </w:rPr>
        <w:t>自治区生态环境厅统一监督。</w:t>
      </w:r>
      <w:r>
        <w:rPr>
          <w:rFonts w:hint="default" w:ascii="Times New Roman" w:hAnsi="Times New Roman" w:eastAsia="仿宋_GB2312" w:cs="Times New Roman"/>
          <w:color w:val="auto"/>
          <w:sz w:val="32"/>
          <w:szCs w:val="32"/>
          <w:lang w:eastAsia="zh-CN"/>
        </w:rPr>
        <w:t>可交易排污权和政府储备排污权由各地级市生态环境部门初核，自治区生态环境厅根据规划期内主要污染物总量减排任务完成情况适时组织复核认定。</w:t>
      </w:r>
    </w:p>
    <w:p w14:paraId="1C8DB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第四条 核算结果确认。</w:t>
      </w:r>
      <w:r>
        <w:rPr>
          <w:rFonts w:hint="default" w:ascii="Times New Roman" w:hAnsi="Times New Roman" w:eastAsia="仿宋_GB2312" w:cs="Times New Roman"/>
          <w:color w:val="auto"/>
          <w:sz w:val="32"/>
          <w:szCs w:val="32"/>
          <w:lang w:eastAsia="zh-CN"/>
        </w:rPr>
        <w:t>排污单位初始排污权、新增排污权和可交易排污权核算结果通过</w:t>
      </w:r>
      <w:r>
        <w:rPr>
          <w:rFonts w:hint="default" w:ascii="Times New Roman" w:hAnsi="Times New Roman" w:eastAsia="仿宋_GB2312" w:cs="Times New Roman"/>
          <w:color w:val="auto"/>
          <w:sz w:val="32"/>
          <w:szCs w:val="32"/>
        </w:rPr>
        <w:t>主要污染物排污权指标核算认定表</w:t>
      </w:r>
      <w:r>
        <w:rPr>
          <w:rFonts w:hint="default" w:ascii="Times New Roman" w:hAnsi="Times New Roman" w:eastAsia="仿宋_GB2312" w:cs="Times New Roman"/>
          <w:color w:val="auto"/>
          <w:sz w:val="32"/>
          <w:szCs w:val="32"/>
          <w:lang w:eastAsia="zh-CN"/>
        </w:rPr>
        <w:t>和排污许可证予以确认。实行排污许可重点管理和简化管理的排污权单位，由各地级市生态环境部门出具</w:t>
      </w:r>
      <w:r>
        <w:rPr>
          <w:rFonts w:hint="default" w:ascii="Times New Roman" w:hAnsi="Times New Roman" w:eastAsia="仿宋_GB2312" w:cs="Times New Roman"/>
          <w:color w:val="auto"/>
          <w:sz w:val="32"/>
          <w:szCs w:val="32"/>
        </w:rPr>
        <w:t>主要污染物排污权指标核算认定表</w:t>
      </w:r>
      <w:r>
        <w:rPr>
          <w:rFonts w:hint="default" w:ascii="Times New Roman" w:hAnsi="Times New Roman" w:eastAsia="仿宋_GB2312" w:cs="Times New Roman"/>
          <w:color w:val="auto"/>
          <w:sz w:val="32"/>
          <w:szCs w:val="32"/>
          <w:lang w:eastAsia="zh-CN"/>
        </w:rPr>
        <w:t>，并在排污许可证上登载确权信息；实行排污许可登记管理的排污单位，由各地级市生态环境部门出具</w:t>
      </w:r>
      <w:r>
        <w:rPr>
          <w:rFonts w:hint="default" w:ascii="Times New Roman" w:hAnsi="Times New Roman" w:eastAsia="仿宋_GB2312" w:cs="Times New Roman"/>
          <w:color w:val="auto"/>
          <w:sz w:val="32"/>
          <w:szCs w:val="32"/>
        </w:rPr>
        <w:t>主要污染物排污权指标核算认定表</w:t>
      </w:r>
      <w:r>
        <w:rPr>
          <w:rFonts w:hint="default" w:ascii="Times New Roman" w:hAnsi="Times New Roman" w:eastAsia="仿宋_GB2312" w:cs="Times New Roman"/>
          <w:color w:val="auto"/>
          <w:sz w:val="32"/>
          <w:szCs w:val="32"/>
          <w:lang w:eastAsia="zh-CN"/>
        </w:rPr>
        <w:t>。</w:t>
      </w:r>
    </w:p>
    <w:p w14:paraId="13A92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自治区生态环境厅和各地级市生态环境部门分别负责做好自治区级、市级储备排污权台账动态管理。</w:t>
      </w:r>
      <w:r>
        <w:rPr>
          <w:rFonts w:hint="eastAsia" w:eastAsia="仿宋_GB2312" w:cs="Times New Roman"/>
          <w:color w:val="auto"/>
          <w:sz w:val="32"/>
          <w:szCs w:val="32"/>
          <w:lang w:eastAsia="zh-CN"/>
        </w:rPr>
        <w:t>自治区生态环境厅负责建设全区排污权综合管理平台，平台正式运行后，确权信息实行线上管理。</w:t>
      </w:r>
    </w:p>
    <w:p w14:paraId="29C64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color w:val="auto"/>
          <w:kern w:val="2"/>
          <w:sz w:val="32"/>
          <w:szCs w:val="32"/>
          <w:lang w:val="en-US" w:eastAsia="zh-CN" w:bidi="ar-SA"/>
        </w:rPr>
      </w:pPr>
    </w:p>
    <w:p w14:paraId="04B29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kern w:val="2"/>
          <w:sz w:val="32"/>
          <w:szCs w:val="32"/>
          <w:lang w:val="en-US" w:eastAsia="zh-CN" w:bidi="ar-SA"/>
        </w:rPr>
        <w:t xml:space="preserve">第二章  </w:t>
      </w:r>
      <w:r>
        <w:rPr>
          <w:rFonts w:hint="default" w:ascii="Times New Roman" w:hAnsi="Times New Roman" w:eastAsia="黑体" w:cs="Times New Roman"/>
          <w:b w:val="0"/>
          <w:bCs/>
          <w:color w:val="auto"/>
          <w:sz w:val="32"/>
          <w:szCs w:val="32"/>
        </w:rPr>
        <w:t>现有排污单位</w:t>
      </w:r>
    </w:p>
    <w:p w14:paraId="3D72D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初始排污权指标、新增排污权指标的核算</w:t>
      </w:r>
    </w:p>
    <w:p w14:paraId="14DF6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bidi="ar-SA"/>
        </w:rPr>
        <w:t>第五条 核算原则。</w:t>
      </w:r>
      <w:r>
        <w:rPr>
          <w:rFonts w:hint="default" w:ascii="Times New Roman" w:hAnsi="Times New Roman" w:eastAsia="仿宋_GB2312" w:cs="Times New Roman"/>
          <w:color w:val="auto"/>
          <w:sz w:val="32"/>
          <w:szCs w:val="32"/>
          <w:highlight w:val="none"/>
        </w:rPr>
        <w:t>现有排污单位初始排污权指标、</w:t>
      </w:r>
      <w:r>
        <w:rPr>
          <w:rFonts w:hint="default" w:ascii="Times New Roman" w:hAnsi="Times New Roman" w:eastAsia="仿宋_GB2312" w:cs="Times New Roman"/>
          <w:color w:val="auto"/>
          <w:sz w:val="32"/>
          <w:szCs w:val="32"/>
          <w:highlight w:val="none"/>
          <w:lang w:eastAsia="zh-CN"/>
        </w:rPr>
        <w:t>新（改、扩）建项目</w:t>
      </w:r>
      <w:r>
        <w:rPr>
          <w:rFonts w:hint="default" w:ascii="Times New Roman" w:hAnsi="Times New Roman" w:eastAsia="仿宋_GB2312" w:cs="Times New Roman"/>
          <w:color w:val="auto"/>
          <w:sz w:val="32"/>
          <w:szCs w:val="32"/>
          <w:highlight w:val="none"/>
        </w:rPr>
        <w:t>新增排污权指标按照排污许可证申请与核发技术规范、环境影响报告书（表）批准文件、主要污染物排放总量控制等有关要求从严</w:t>
      </w:r>
      <w:r>
        <w:rPr>
          <w:rFonts w:hint="eastAsia" w:eastAsia="仿宋_GB2312" w:cs="Times New Roman"/>
          <w:color w:val="auto"/>
          <w:sz w:val="32"/>
          <w:szCs w:val="32"/>
          <w:highlight w:val="none"/>
          <w:lang w:eastAsia="zh-CN"/>
        </w:rPr>
        <w:t>核算</w:t>
      </w:r>
      <w:r>
        <w:rPr>
          <w:rFonts w:hint="default" w:ascii="Times New Roman" w:hAnsi="Times New Roman" w:eastAsia="仿宋_GB2312" w:cs="Times New Roman"/>
          <w:color w:val="auto"/>
          <w:sz w:val="32"/>
          <w:szCs w:val="32"/>
          <w:highlight w:val="none"/>
        </w:rPr>
        <w:t>。没有对应行业排污许可技术规范或行业技术规范无计算方法的，按照排污单位所属行业主要污染物绩效值核定的排放量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简称“绩效排污量”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与环境影响评价批复排放量从严核定。</w:t>
      </w:r>
    </w:p>
    <w:p w14:paraId="6BC4731E">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en-US" w:eastAsia="zh-CN" w:bidi="ar-SA"/>
        </w:rPr>
        <w:t>第六条 绩效排放量计算。</w:t>
      </w:r>
      <w:r>
        <w:rPr>
          <w:rFonts w:hint="default" w:ascii="Times New Roman" w:hAnsi="Times New Roman" w:eastAsia="仿宋_GB2312" w:cs="Times New Roman"/>
          <w:color w:val="auto"/>
          <w:sz w:val="32"/>
          <w:szCs w:val="32"/>
        </w:rPr>
        <w:t>污染物绩效排放量是根据排污单位适用的现行排放标准，以污染物排放浓度标准（限值）和绩效排水（气）量计算获得。</w:t>
      </w:r>
    </w:p>
    <w:p w14:paraId="11A8D873">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排放标准中未规定主要污染物排放浓度限值，排放浓度根据工业污染源产排污系数手册中单位基准排水（气）量，单位基准排污量计算。废水排入集中式水污染治理</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的，水污染物排放浓度限值按集中式水污染治理</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的排放标准确定。</w:t>
      </w:r>
    </w:p>
    <w:p w14:paraId="16FB705D">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绩效排水（气）量根据排放标准中的单位产品基准排水（气）量和环境影响评价批复的产能规模计算。排放标准中未规定单位产品基准排水（气）量的，根据工业污染源产排污系数手册、环境影响评价批复及报告、竣工验收报告（折算成环境影响评</w:t>
      </w:r>
      <w:r>
        <w:rPr>
          <w:rFonts w:hint="default" w:ascii="Times New Roman" w:hAnsi="Times New Roman" w:eastAsia="仿宋_GB2312" w:cs="Times New Roman"/>
          <w:color w:val="auto"/>
          <w:spacing w:val="-6"/>
          <w:sz w:val="32"/>
          <w:szCs w:val="32"/>
        </w:rPr>
        <w:t>价批复的产能规模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6"/>
          <w:sz w:val="32"/>
          <w:szCs w:val="32"/>
        </w:rPr>
        <w:t>获取排水</w:t>
      </w:r>
      <w:r>
        <w:rPr>
          <w:rFonts w:hint="default" w:ascii="Times New Roman" w:hAnsi="Times New Roman" w:eastAsia="仿宋_GB2312" w:cs="Times New Roman"/>
          <w:color w:val="auto"/>
          <w:sz w:val="32"/>
          <w:szCs w:val="32"/>
        </w:rPr>
        <w:t>（气）</w:t>
      </w:r>
      <w:r>
        <w:rPr>
          <w:rFonts w:hint="default" w:ascii="Times New Roman" w:hAnsi="Times New Roman" w:eastAsia="仿宋_GB2312" w:cs="Times New Roman"/>
          <w:color w:val="auto"/>
          <w:spacing w:val="-6"/>
          <w:sz w:val="32"/>
          <w:szCs w:val="32"/>
        </w:rPr>
        <w:t>量进行比较，从严核定。</w:t>
      </w:r>
    </w:p>
    <w:p w14:paraId="7CF6CCA2">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第七条 初始排污权重新核定的情形。</w:t>
      </w:r>
    </w:p>
    <w:p w14:paraId="111F394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）国家、地方污染物排放标准有更新的，应采用更新后的排放标准重新核定初始排污权。</w:t>
      </w:r>
    </w:p>
    <w:p w14:paraId="07AB90BD">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）当可交易排污权出让后，相应排污权指标应从初始排污权中扣除，其排污总量应控制在重新确定的初始排污权指标内。</w:t>
      </w:r>
    </w:p>
    <w:p w14:paraId="1880454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2"/>
          <w:sz w:val="32"/>
          <w:szCs w:val="32"/>
          <w:lang w:val="en-US" w:eastAsia="zh-CN" w:bidi="ar-SA"/>
        </w:rPr>
        <w:t>（三）</w:t>
      </w:r>
      <w:r>
        <w:rPr>
          <w:rFonts w:hint="default" w:ascii="Times New Roman" w:hAnsi="Times New Roman" w:eastAsia="仿宋_GB2312" w:cs="Times New Roman"/>
          <w:b w:val="0"/>
          <w:bCs w:val="0"/>
          <w:color w:val="auto"/>
          <w:sz w:val="32"/>
          <w:szCs w:val="32"/>
        </w:rPr>
        <w:t>环境</w:t>
      </w:r>
      <w:r>
        <w:rPr>
          <w:rFonts w:hint="default" w:ascii="Times New Roman" w:hAnsi="Times New Roman" w:eastAsia="仿宋_GB2312" w:cs="Times New Roman"/>
          <w:color w:val="auto"/>
          <w:sz w:val="32"/>
          <w:szCs w:val="32"/>
        </w:rPr>
        <w:t>影响评价</w:t>
      </w:r>
      <w:r>
        <w:rPr>
          <w:rFonts w:hint="default" w:ascii="Times New Roman" w:hAnsi="Times New Roman" w:eastAsia="仿宋_GB2312" w:cs="Times New Roman"/>
          <w:color w:val="auto"/>
          <w:sz w:val="32"/>
          <w:szCs w:val="32"/>
          <w:lang w:eastAsia="zh-CN"/>
        </w:rPr>
        <w:t>发生变更</w:t>
      </w:r>
      <w:r>
        <w:rPr>
          <w:rFonts w:hint="default" w:ascii="Times New Roman" w:hAnsi="Times New Roman" w:eastAsia="仿宋_GB2312" w:cs="Times New Roman"/>
          <w:color w:val="auto"/>
          <w:sz w:val="32"/>
          <w:szCs w:val="32"/>
        </w:rPr>
        <w:t>的，应重新核定初始排污权。</w:t>
      </w:r>
    </w:p>
    <w:p w14:paraId="12607832">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 xml:space="preserve">第八条 </w:t>
      </w:r>
      <w:r>
        <w:rPr>
          <w:rFonts w:hint="default" w:ascii="Times New Roman" w:hAnsi="Times New Roman" w:eastAsia="仿宋_GB2312" w:cs="Times New Roman"/>
          <w:b w:val="0"/>
          <w:bCs w:val="0"/>
          <w:color w:val="auto"/>
          <w:sz w:val="32"/>
          <w:szCs w:val="32"/>
          <w:lang w:val="en-US" w:eastAsia="zh-CN"/>
        </w:rPr>
        <w:t>对生产废水进入集中式水污染治理设施的排污单位，应当核算水污染物排污权指标，核算方法为排污单位排入集中式水污染治理设施的水量×集中式水污染治理设施的排放限值。排污单位生活污水单独排入污水处理厂的，不予核算。</w:t>
      </w:r>
    </w:p>
    <w:p w14:paraId="7D1A59A2">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lang w:val="en-US" w:eastAsia="zh-CN"/>
        </w:rPr>
      </w:pPr>
    </w:p>
    <w:p w14:paraId="627B0D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第三章 可交易排污权的核定</w:t>
      </w:r>
    </w:p>
    <w:p w14:paraId="50A27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第九条 核算原则。</w:t>
      </w:r>
    </w:p>
    <w:p w14:paraId="2F2E154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排污单位通过开展技术改造、污染治理、清洁能源替代、结构调整关停淘汰等措施减少污染物排放量的，</w:t>
      </w:r>
      <w:r>
        <w:rPr>
          <w:rFonts w:hint="default" w:ascii="Times New Roman" w:hAnsi="Times New Roman" w:eastAsia="仿宋_GB2312" w:cs="Times New Roman"/>
          <w:color w:val="auto"/>
          <w:sz w:val="32"/>
          <w:szCs w:val="32"/>
          <w:lang w:eastAsia="zh-CN"/>
        </w:rPr>
        <w:t>各地级市生态环境部门应按照生态环境部《主要污染物总量减排核算技术指南》有关要求上报为重点减排工程并进行减排量核算，核算结果</w:t>
      </w:r>
      <w:r>
        <w:rPr>
          <w:rFonts w:hint="default" w:ascii="Times New Roman" w:hAnsi="Times New Roman" w:eastAsia="仿宋_GB2312" w:cs="Times New Roman"/>
          <w:color w:val="auto"/>
          <w:sz w:val="32"/>
          <w:szCs w:val="32"/>
        </w:rPr>
        <w:t>经生态环境部</w:t>
      </w:r>
      <w:r>
        <w:rPr>
          <w:rFonts w:hint="default" w:ascii="Times New Roman" w:hAnsi="Times New Roman" w:eastAsia="仿宋_GB2312" w:cs="Times New Roman"/>
          <w:color w:val="auto"/>
          <w:sz w:val="32"/>
          <w:szCs w:val="32"/>
          <w:lang w:eastAsia="zh-CN"/>
        </w:rPr>
        <w:t>认</w:t>
      </w:r>
      <w:r>
        <w:rPr>
          <w:rFonts w:hint="default" w:ascii="Times New Roman" w:hAnsi="Times New Roman" w:eastAsia="仿宋_GB2312" w:cs="Times New Roman"/>
          <w:color w:val="auto"/>
          <w:sz w:val="32"/>
          <w:szCs w:val="32"/>
        </w:rPr>
        <w:t>定后，扣除应承担的减排任务，按照</w:t>
      </w:r>
      <w:r>
        <w:rPr>
          <w:rFonts w:hint="default" w:ascii="Times New Roman" w:hAnsi="Times New Roman" w:eastAsia="仿宋_GB2312" w:cs="Times New Roman"/>
          <w:color w:val="auto"/>
          <w:sz w:val="32"/>
          <w:szCs w:val="32"/>
          <w:lang w:eastAsia="zh-CN"/>
        </w:rPr>
        <w:t>一定</w:t>
      </w:r>
      <w:r>
        <w:rPr>
          <w:rFonts w:hint="default" w:ascii="Times New Roman" w:hAnsi="Times New Roman" w:eastAsia="仿宋_GB2312" w:cs="Times New Roman"/>
          <w:color w:val="auto"/>
          <w:sz w:val="32"/>
          <w:szCs w:val="32"/>
        </w:rPr>
        <w:t>比例核定为排污单位的可交易排污权。</w:t>
      </w:r>
    </w:p>
    <w:p w14:paraId="4F53F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通过排污权交易取得排污权指标的新（改、扩）建项目，在建设期间因适用污染物排放标准更新而必须进行提标改造所形成的污染物削减量，</w:t>
      </w:r>
      <w:r>
        <w:rPr>
          <w:rFonts w:hint="default" w:ascii="Times New Roman" w:hAnsi="Times New Roman" w:eastAsia="仿宋_GB2312" w:cs="Times New Roman"/>
          <w:color w:val="auto"/>
          <w:sz w:val="32"/>
          <w:szCs w:val="32"/>
          <w:lang w:eastAsia="zh-CN"/>
        </w:rPr>
        <w:t>或因不再建设未使用的排污权指标，</w:t>
      </w:r>
      <w:r>
        <w:rPr>
          <w:rFonts w:hint="default" w:ascii="Times New Roman" w:hAnsi="Times New Roman" w:eastAsia="仿宋_GB2312" w:cs="Times New Roman"/>
          <w:color w:val="auto"/>
          <w:sz w:val="32"/>
          <w:szCs w:val="32"/>
        </w:rPr>
        <w:t>可作为可交易排污权指标。</w:t>
      </w:r>
    </w:p>
    <w:p w14:paraId="7B57F9C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（三）符合</w:t>
      </w:r>
      <w:r>
        <w:rPr>
          <w:rFonts w:hint="default" w:ascii="Times New Roman" w:hAnsi="Times New Roman" w:eastAsia="仿宋_GB2312" w:cs="Times New Roman"/>
          <w:color w:val="auto"/>
          <w:sz w:val="32"/>
          <w:szCs w:val="32"/>
          <w:lang w:eastAsia="zh-CN"/>
        </w:rPr>
        <w:t>《主要污染物总量减排核算技术指南》认定条件但未上报为重点减排工程进行核算的减排量、排污单位二氧化硫减排量、</w:t>
      </w:r>
      <w:r>
        <w:rPr>
          <w:rFonts w:hint="default" w:ascii="Times New Roman" w:hAnsi="Times New Roman" w:eastAsia="仿宋_GB2312" w:cs="Times New Roman"/>
          <w:bCs/>
          <w:color w:val="auto"/>
          <w:kern w:val="0"/>
          <w:sz w:val="32"/>
          <w:szCs w:val="32"/>
          <w:lang w:val="zh-TW"/>
        </w:rPr>
        <w:t>废水进入</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bCs/>
          <w:color w:val="auto"/>
          <w:kern w:val="0"/>
          <w:sz w:val="32"/>
          <w:szCs w:val="32"/>
          <w:lang w:val="zh-TW"/>
        </w:rPr>
        <w:t>的</w:t>
      </w:r>
      <w:r>
        <w:rPr>
          <w:rFonts w:hint="default" w:ascii="Times New Roman" w:hAnsi="Times New Roman" w:eastAsia="仿宋_GB2312" w:cs="Times New Roman"/>
          <w:color w:val="auto"/>
          <w:sz w:val="32"/>
          <w:szCs w:val="32"/>
          <w:lang w:eastAsia="zh-CN"/>
        </w:rPr>
        <w:t>排污单位通过减少废水排放量形成的减排量，由自治区生态环境厅参照《主要污染物总量减排核算技术指南》等有关要求组织核算减排量，减排项目未承担减排任务的，需按照一定比例预留为政府储备排污权，剩余部分</w:t>
      </w:r>
      <w:r>
        <w:rPr>
          <w:rFonts w:hint="default" w:ascii="Times New Roman" w:hAnsi="Times New Roman" w:eastAsia="仿宋_GB2312" w:cs="Times New Roman"/>
          <w:color w:val="auto"/>
          <w:sz w:val="32"/>
          <w:szCs w:val="32"/>
        </w:rPr>
        <w:t>核定为排污单位的可交易排污权。</w:t>
      </w:r>
    </w:p>
    <w:p w14:paraId="73367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具体核算原则如下：</w:t>
      </w:r>
    </w:p>
    <w:p w14:paraId="7402A6AD">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可交易排污权指标根据减排措施完成前的初始排污权指标，及减排措施实施后排污单位正常运行可稳定达到的污染物最大排放量进行核</w:t>
      </w:r>
      <w:r>
        <w:rPr>
          <w:rFonts w:hint="default" w:ascii="Times New Roman" w:hAnsi="Times New Roman"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w:t>
      </w:r>
    </w:p>
    <w:p w14:paraId="646ED1A0">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zh-TW"/>
        </w:rPr>
        <w:t>自行处理排污单位</w:t>
      </w:r>
      <w:r>
        <w:rPr>
          <w:rFonts w:hint="default" w:ascii="Times New Roman" w:hAnsi="Times New Roman" w:eastAsia="仿宋_GB2312" w:cs="Times New Roman"/>
          <w:color w:val="auto"/>
          <w:sz w:val="32"/>
          <w:szCs w:val="32"/>
        </w:rPr>
        <w:t>可交易排污权：</w:t>
      </w:r>
    </w:p>
    <w:p w14:paraId="71797C9F">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Cs/>
          <w:color w:val="auto"/>
          <w:sz w:val="36"/>
          <w:szCs w:val="36"/>
        </w:rPr>
        <w:t>E</w:t>
      </w:r>
      <w:r>
        <w:rPr>
          <w:rFonts w:hint="default" w:ascii="Times New Roman" w:hAnsi="Times New Roman" w:eastAsia="仿宋_GB2312" w:cs="Times New Roman"/>
          <w:bCs/>
          <w:color w:val="auto"/>
          <w:sz w:val="36"/>
          <w:szCs w:val="36"/>
          <w:vertAlign w:val="subscript"/>
        </w:rPr>
        <w:t>k</w:t>
      </w:r>
      <w:r>
        <w:rPr>
          <w:rFonts w:hint="default" w:ascii="Times New Roman" w:hAnsi="Times New Roman" w:eastAsia="仿宋_GB2312" w:cs="Times New Roman"/>
          <w:bCs/>
          <w:color w:val="auto"/>
          <w:sz w:val="36"/>
          <w:szCs w:val="36"/>
        </w:rPr>
        <w:t>=E</w:t>
      </w:r>
      <w:r>
        <w:rPr>
          <w:rFonts w:hint="default" w:ascii="Times New Roman" w:hAnsi="Times New Roman" w:eastAsia="仿宋_GB2312" w:cs="Times New Roman"/>
          <w:bCs/>
          <w:color w:val="auto"/>
          <w:sz w:val="36"/>
          <w:szCs w:val="36"/>
          <w:vertAlign w:val="subscript"/>
        </w:rPr>
        <w:t>q</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6"/>
          <w:szCs w:val="36"/>
        </w:rPr>
        <w:t>E</w:t>
      </w:r>
      <w:r>
        <w:rPr>
          <w:rFonts w:hint="default" w:ascii="Times New Roman" w:hAnsi="Times New Roman" w:eastAsia="仿宋_GB2312" w:cs="Times New Roman"/>
          <w:bCs/>
          <w:color w:val="auto"/>
          <w:sz w:val="36"/>
          <w:szCs w:val="36"/>
          <w:vertAlign w:val="subscript"/>
        </w:rPr>
        <w:t>h</w:t>
      </w:r>
    </w:p>
    <w:p w14:paraId="6395DAC4">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k</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kern w:val="0"/>
          <w:sz w:val="32"/>
          <w:szCs w:val="32"/>
          <w:lang w:val="zh-TW"/>
        </w:rPr>
        <w:t>自行处理排污单位</w:t>
      </w:r>
      <w:r>
        <w:rPr>
          <w:rFonts w:hint="default" w:ascii="Times New Roman" w:hAnsi="Times New Roman" w:eastAsia="仿宋_GB2312" w:cs="Times New Roman"/>
          <w:bCs/>
          <w:color w:val="auto"/>
          <w:sz w:val="32"/>
          <w:szCs w:val="32"/>
        </w:rPr>
        <w:t>可交易排污权</w:t>
      </w:r>
    </w:p>
    <w:p w14:paraId="2FE0C91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q</w:t>
      </w:r>
      <w:r>
        <w:rPr>
          <w:rFonts w:hint="default" w:ascii="Times New Roman" w:hAnsi="Times New Roman" w:eastAsia="仿宋_GB2312" w:cs="Times New Roman"/>
          <w:bCs/>
          <w:color w:val="auto"/>
          <w:sz w:val="32"/>
          <w:szCs w:val="32"/>
        </w:rPr>
        <w:t>—减排措施完成前的排污权指标</w:t>
      </w:r>
    </w:p>
    <w:p w14:paraId="6744A76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h</w:t>
      </w:r>
      <w:r>
        <w:rPr>
          <w:rFonts w:hint="default" w:ascii="Times New Roman" w:hAnsi="Times New Roman" w:eastAsia="仿宋_GB2312" w:cs="Times New Roman"/>
          <w:bCs/>
          <w:color w:val="auto"/>
          <w:sz w:val="32"/>
          <w:szCs w:val="32"/>
        </w:rPr>
        <w:t>—减排措施实施后企业正常运行可稳定达到的污染物最大排放量</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即减排措施实施后企业正常运行最大排水</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气</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量</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减排措施实施后企业可稳定达到的排放浓度值</w:t>
      </w:r>
      <w:r>
        <w:rPr>
          <w:rFonts w:hint="default" w:ascii="Times New Roman" w:hAnsi="Times New Roman" w:eastAsia="仿宋_GB2312" w:cs="Times New Roman"/>
          <w:bCs/>
          <w:color w:val="auto"/>
          <w:sz w:val="32"/>
          <w:szCs w:val="32"/>
          <w:lang w:eastAsia="zh-CN"/>
        </w:rPr>
        <w:t>）</w:t>
      </w:r>
    </w:p>
    <w:p w14:paraId="2FC1501B">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zh-TW"/>
        </w:rPr>
      </w:pP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lang w:val="zh-TW"/>
        </w:rPr>
        <w:t>废水进入</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bCs/>
          <w:color w:val="auto"/>
          <w:kern w:val="0"/>
          <w:sz w:val="32"/>
          <w:szCs w:val="32"/>
          <w:lang w:val="zh-TW"/>
        </w:rPr>
        <w:t>的</w:t>
      </w:r>
      <w:r>
        <w:rPr>
          <w:rFonts w:hint="default" w:ascii="Times New Roman" w:hAnsi="Times New Roman" w:eastAsia="仿宋_GB2312" w:cs="Times New Roman"/>
          <w:color w:val="auto"/>
          <w:sz w:val="32"/>
          <w:szCs w:val="32"/>
        </w:rPr>
        <w:t>排污单位通过开展技术改造、污染治理、结构调整关停淘汰等措施减少废水排放量的，其水污染物可交易排污权按照减少的废水排放量和</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color w:val="auto"/>
          <w:kern w:val="0"/>
          <w:sz w:val="32"/>
          <w:szCs w:val="32"/>
          <w:lang w:val="zh-TW"/>
        </w:rPr>
        <w:t>执行的标准浓度限值进行核定，并提供废水减少排放的相关证明材料。</w:t>
      </w:r>
    </w:p>
    <w:p w14:paraId="138D65B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kern w:val="0"/>
          <w:sz w:val="32"/>
          <w:szCs w:val="32"/>
          <w:lang w:val="zh-TW"/>
        </w:rPr>
      </w:pPr>
      <w:r>
        <w:rPr>
          <w:rFonts w:hint="default" w:ascii="Times New Roman" w:hAnsi="Times New Roman" w:eastAsia="仿宋_GB2312" w:cs="Times New Roman"/>
          <w:bCs/>
          <w:color w:val="auto"/>
          <w:kern w:val="0"/>
          <w:sz w:val="32"/>
          <w:szCs w:val="32"/>
          <w:lang w:val="zh-TW"/>
        </w:rPr>
        <w:t>废水进入</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bCs/>
          <w:color w:val="auto"/>
          <w:kern w:val="0"/>
          <w:sz w:val="32"/>
          <w:szCs w:val="32"/>
          <w:lang w:val="zh-TW"/>
        </w:rPr>
        <w:t>的排污单位可交易排污权：</w:t>
      </w:r>
    </w:p>
    <w:p w14:paraId="27E687D3">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color w:val="auto"/>
          <w:sz w:val="36"/>
          <w:szCs w:val="36"/>
        </w:rPr>
      </w:pPr>
      <w:r>
        <w:rPr>
          <w:rFonts w:hint="default" w:ascii="Times New Roman" w:hAnsi="Times New Roman" w:eastAsia="仿宋_GB2312" w:cs="Times New Roman"/>
          <w:bCs/>
          <w:color w:val="auto"/>
          <w:sz w:val="36"/>
          <w:szCs w:val="36"/>
        </w:rPr>
        <w:t>E</w:t>
      </w:r>
      <w:r>
        <w:rPr>
          <w:rFonts w:hint="default" w:ascii="Times New Roman" w:hAnsi="Times New Roman" w:eastAsia="仿宋_GB2312" w:cs="Times New Roman"/>
          <w:bCs/>
          <w:color w:val="auto"/>
          <w:sz w:val="36"/>
          <w:szCs w:val="36"/>
          <w:vertAlign w:val="subscript"/>
        </w:rPr>
        <w:t>fk</w:t>
      </w:r>
      <w:r>
        <w:rPr>
          <w:rFonts w:hint="default" w:ascii="Times New Roman" w:hAnsi="Times New Roman" w:eastAsia="仿宋_GB2312" w:cs="Times New Roman"/>
          <w:bCs/>
          <w:color w:val="auto"/>
          <w:sz w:val="36"/>
          <w:szCs w:val="36"/>
        </w:rPr>
        <w:t>=E</w:t>
      </w:r>
      <w:r>
        <w:rPr>
          <w:rFonts w:hint="default" w:ascii="Times New Roman" w:hAnsi="Times New Roman" w:eastAsia="仿宋_GB2312" w:cs="Times New Roman"/>
          <w:bCs/>
          <w:color w:val="auto"/>
          <w:sz w:val="36"/>
          <w:szCs w:val="36"/>
          <w:vertAlign w:val="subscript"/>
        </w:rPr>
        <w:t>fq</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6"/>
          <w:szCs w:val="36"/>
        </w:rPr>
        <w:t>E</w:t>
      </w:r>
      <w:r>
        <w:rPr>
          <w:rFonts w:hint="default" w:ascii="Times New Roman" w:hAnsi="Times New Roman" w:eastAsia="仿宋_GB2312" w:cs="Times New Roman"/>
          <w:bCs/>
          <w:color w:val="auto"/>
          <w:sz w:val="36"/>
          <w:szCs w:val="36"/>
          <w:vertAlign w:val="subscript"/>
        </w:rPr>
        <w:t>fh</w:t>
      </w:r>
    </w:p>
    <w:p w14:paraId="007D790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kern w:val="0"/>
          <w:sz w:val="32"/>
          <w:szCs w:val="32"/>
          <w:lang w:val="zh-TW"/>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fk</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kern w:val="0"/>
          <w:sz w:val="32"/>
          <w:szCs w:val="32"/>
          <w:lang w:val="zh-TW"/>
        </w:rPr>
        <w:t>废水进入</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bCs/>
          <w:color w:val="auto"/>
          <w:kern w:val="0"/>
          <w:sz w:val="32"/>
          <w:szCs w:val="32"/>
          <w:lang w:val="zh-TW"/>
        </w:rPr>
        <w:t>的排污单位可交易排污权</w:t>
      </w:r>
    </w:p>
    <w:p w14:paraId="58936DE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kern w:val="0"/>
          <w:sz w:val="32"/>
          <w:szCs w:val="32"/>
          <w:lang w:val="zh-TW"/>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fq</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kern w:val="0"/>
          <w:sz w:val="32"/>
          <w:szCs w:val="32"/>
          <w:lang w:val="zh-TW"/>
        </w:rPr>
        <w:t>减排措施完成前的排污权指标</w:t>
      </w:r>
    </w:p>
    <w:p w14:paraId="6873EEB5">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kern w:val="0"/>
          <w:sz w:val="32"/>
          <w:szCs w:val="32"/>
          <w:lang w:val="zh-TW" w:eastAsia="zh-CN"/>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fh</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kern w:val="0"/>
          <w:sz w:val="32"/>
          <w:szCs w:val="32"/>
          <w:lang w:val="zh-TW"/>
        </w:rPr>
        <w:t>减排措施实施后企业正常运行可稳定达到的污染物最大排放量</w:t>
      </w:r>
      <w:r>
        <w:rPr>
          <w:rFonts w:hint="default" w:ascii="Times New Roman" w:hAnsi="Times New Roman" w:eastAsia="仿宋_GB2312" w:cs="Times New Roman"/>
          <w:bCs/>
          <w:color w:val="auto"/>
          <w:kern w:val="0"/>
          <w:sz w:val="32"/>
          <w:szCs w:val="32"/>
          <w:lang w:val="zh-TW" w:eastAsia="zh-CN"/>
        </w:rPr>
        <w:t>（</w:t>
      </w:r>
      <w:r>
        <w:rPr>
          <w:rFonts w:hint="default" w:ascii="Times New Roman" w:hAnsi="Times New Roman" w:eastAsia="仿宋_GB2312" w:cs="Times New Roman"/>
          <w:bCs/>
          <w:color w:val="auto"/>
          <w:kern w:val="0"/>
          <w:sz w:val="32"/>
          <w:szCs w:val="32"/>
          <w:lang w:val="zh-TW"/>
        </w:rPr>
        <w:t>即减排措施实施后企业正常运行最大排水量</w:t>
      </w:r>
      <w:r>
        <w:rPr>
          <w:rFonts w:hint="default"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color w:val="auto"/>
          <w:kern w:val="0"/>
          <w:sz w:val="32"/>
          <w:szCs w:val="32"/>
          <w:lang w:val="zh-TW"/>
        </w:rPr>
        <w:t>执行的标准浓度限值</w:t>
      </w:r>
      <w:r>
        <w:rPr>
          <w:rFonts w:hint="default" w:ascii="Times New Roman" w:hAnsi="Times New Roman" w:eastAsia="仿宋_GB2312" w:cs="Times New Roman"/>
          <w:bCs/>
          <w:color w:val="auto"/>
          <w:kern w:val="0"/>
          <w:sz w:val="32"/>
          <w:szCs w:val="32"/>
          <w:lang w:val="zh-TW" w:eastAsia="zh-CN"/>
        </w:rPr>
        <w:t>）</w:t>
      </w:r>
    </w:p>
    <w:p w14:paraId="042028EF">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排污单位通过全厂（生产线）淘汰关停等减少污染物排放量的，其可交易排污权等于淘汰关停时的初始排污权。</w:t>
      </w:r>
    </w:p>
    <w:p w14:paraId="64A771D0">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工业</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color w:val="auto"/>
          <w:sz w:val="32"/>
          <w:szCs w:val="32"/>
        </w:rPr>
        <w:t>的减排工程可交易排污权</w:t>
      </w:r>
    </w:p>
    <w:p w14:paraId="18A1AC79">
      <w:pPr>
        <w:pStyle w:val="8"/>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gk</w:t>
      </w:r>
      <w:r>
        <w:rPr>
          <w:rFonts w:hint="default" w:ascii="Times New Roman" w:hAnsi="Times New Roman" w:eastAsia="仿宋_GB2312" w:cs="Times New Roman"/>
          <w:bCs/>
          <w:color w:val="auto"/>
          <w:sz w:val="32"/>
          <w:szCs w:val="32"/>
        </w:rPr>
        <w:t>=M×（C</w:t>
      </w:r>
      <w:r>
        <w:rPr>
          <w:rFonts w:hint="default" w:ascii="Times New Roman" w:hAnsi="Times New Roman" w:eastAsia="仿宋_GB2312" w:cs="Times New Roman"/>
          <w:bCs/>
          <w:color w:val="auto"/>
          <w:sz w:val="32"/>
          <w:szCs w:val="32"/>
          <w:vertAlign w:val="subscript"/>
        </w:rPr>
        <w:t>q</w:t>
      </w:r>
      <w:r>
        <w:rPr>
          <w:rFonts w:hint="default" w:ascii="Times New Roman" w:hAnsi="Times New Roman" w:eastAsia="仿宋_GB2312" w:cs="Times New Roman"/>
          <w:bCs/>
          <w:color w:val="auto"/>
          <w:sz w:val="32"/>
          <w:szCs w:val="32"/>
        </w:rPr>
        <w:t>—C</w:t>
      </w:r>
      <w:r>
        <w:rPr>
          <w:rFonts w:hint="default" w:ascii="Times New Roman" w:hAnsi="Times New Roman" w:eastAsia="仿宋_GB2312" w:cs="Times New Roman"/>
          <w:bCs/>
          <w:color w:val="auto"/>
          <w:sz w:val="32"/>
          <w:szCs w:val="32"/>
          <w:vertAlign w:val="subscript"/>
        </w:rPr>
        <w:t>h</w:t>
      </w:r>
      <w:r>
        <w:rPr>
          <w:rFonts w:hint="default" w:ascii="Times New Roman" w:hAnsi="Times New Roman" w:eastAsia="仿宋_GB2312" w:cs="Times New Roman"/>
          <w:bCs/>
          <w:color w:val="auto"/>
          <w:sz w:val="32"/>
          <w:szCs w:val="32"/>
        </w:rPr>
        <w:t>）</w:t>
      </w:r>
    </w:p>
    <w:p w14:paraId="6EC0C148">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E</w:t>
      </w:r>
      <w:r>
        <w:rPr>
          <w:rFonts w:hint="default" w:ascii="Times New Roman" w:hAnsi="Times New Roman" w:eastAsia="仿宋_GB2312" w:cs="Times New Roman"/>
          <w:bCs/>
          <w:color w:val="auto"/>
          <w:sz w:val="32"/>
          <w:szCs w:val="32"/>
          <w:vertAlign w:val="subscript"/>
        </w:rPr>
        <w:t>gk</w:t>
      </w:r>
      <w:r>
        <w:rPr>
          <w:rFonts w:hint="default" w:ascii="Times New Roman" w:hAnsi="Times New Roman" w:eastAsia="仿宋_GB2312" w:cs="Times New Roman"/>
          <w:bCs/>
          <w:color w:val="auto"/>
          <w:sz w:val="32"/>
          <w:szCs w:val="32"/>
        </w:rPr>
        <w:t>—工业</w:t>
      </w: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bCs/>
          <w:color w:val="auto"/>
          <w:sz w:val="32"/>
          <w:szCs w:val="32"/>
        </w:rPr>
        <w:t>的减排工程可交易排污权。</w:t>
      </w:r>
    </w:p>
    <w:p w14:paraId="33F5A241">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M—设计污水处理量</w:t>
      </w:r>
    </w:p>
    <w:p w14:paraId="2B6F91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C</w:t>
      </w:r>
      <w:r>
        <w:rPr>
          <w:rFonts w:hint="default" w:ascii="Times New Roman" w:hAnsi="Times New Roman" w:eastAsia="仿宋_GB2312" w:cs="Times New Roman"/>
          <w:bCs/>
          <w:color w:val="auto"/>
          <w:sz w:val="32"/>
          <w:szCs w:val="32"/>
          <w:vertAlign w:val="subscript"/>
        </w:rPr>
        <w:t>q</w:t>
      </w:r>
      <w:r>
        <w:rPr>
          <w:rFonts w:hint="default" w:ascii="Times New Roman" w:hAnsi="Times New Roman" w:eastAsia="仿宋_GB2312" w:cs="Times New Roman"/>
          <w:bCs/>
          <w:color w:val="auto"/>
          <w:sz w:val="32"/>
          <w:szCs w:val="32"/>
        </w:rPr>
        <w:t xml:space="preserve">—减排措施完成前应执行的标准浓度标准/限值 </w:t>
      </w:r>
    </w:p>
    <w:p w14:paraId="11F3FB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C</w:t>
      </w:r>
      <w:r>
        <w:rPr>
          <w:rFonts w:hint="default" w:ascii="Times New Roman" w:hAnsi="Times New Roman" w:eastAsia="仿宋_GB2312" w:cs="Times New Roman"/>
          <w:bCs/>
          <w:color w:val="auto"/>
          <w:sz w:val="32"/>
          <w:szCs w:val="32"/>
          <w:vertAlign w:val="subscript"/>
        </w:rPr>
        <w:t>h</w:t>
      </w:r>
      <w:r>
        <w:rPr>
          <w:rFonts w:hint="default" w:ascii="Times New Roman" w:hAnsi="Times New Roman" w:eastAsia="仿宋_GB2312" w:cs="Times New Roman"/>
          <w:bCs/>
          <w:color w:val="auto"/>
          <w:sz w:val="32"/>
          <w:szCs w:val="32"/>
        </w:rPr>
        <w:t>—减排措施实施后可稳定达到的排放浓度值</w:t>
      </w:r>
    </w:p>
    <w:p w14:paraId="669854EC">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zh-TW" w:eastAsia="zh-CN" w:bidi="ar-SA"/>
        </w:rPr>
        <w:t>（四）</w:t>
      </w:r>
      <w:r>
        <w:rPr>
          <w:rFonts w:hint="default" w:ascii="Times New Roman" w:hAnsi="Times New Roman" w:eastAsia="仿宋_GB2312" w:cs="Times New Roman"/>
          <w:bCs/>
          <w:color w:val="auto"/>
          <w:kern w:val="2"/>
          <w:sz w:val="32"/>
          <w:szCs w:val="32"/>
          <w:lang w:val="en-US" w:eastAsia="zh-CN" w:bidi="ar-SA"/>
        </w:rPr>
        <w:t>通过提高管理水平可实现污染物排放总量稳定低于初始排污权许可排放量的，排污单位可申请变更许可排放浓度和许可排放量，提高管理水平前后污染物排放量差值可核定为可交易排污权。具体核算原则如下：</w:t>
      </w:r>
    </w:p>
    <w:p w14:paraId="6D3D206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提高管理水平</w:t>
      </w:r>
      <w:r>
        <w:rPr>
          <w:rFonts w:hint="default" w:ascii="Times New Roman" w:hAnsi="Times New Roman" w:eastAsia="仿宋_GB2312" w:cs="Times New Roman"/>
          <w:color w:val="auto"/>
          <w:sz w:val="32"/>
          <w:szCs w:val="32"/>
        </w:rPr>
        <w:t>后可稳定达到的排放浓度，依据以下数据及排污单位实际、生态环境部门管理要求综合确定：</w:t>
      </w:r>
    </w:p>
    <w:p w14:paraId="62655D86">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与当地生态环境部门监控平台联网、通过数据有效性审核、运行管理规范、数据保存完整准确的自动在线监测数据；</w:t>
      </w:r>
    </w:p>
    <w:p w14:paraId="4DC657D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各级生态环境部门对污染物治理设施的监督性监测数据；</w:t>
      </w:r>
    </w:p>
    <w:p w14:paraId="09DCC3CE">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减排设施竣工验收监测的排放浓度；</w:t>
      </w:r>
    </w:p>
    <w:p w14:paraId="5CC79CA3">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委托有资质监测单位监测的排放浓度。</w:t>
      </w:r>
    </w:p>
    <w:p w14:paraId="466CEA1E">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测算可交易排污权采用的</w:t>
      </w:r>
      <w:r>
        <w:rPr>
          <w:rFonts w:hint="default" w:ascii="Times New Roman" w:hAnsi="Times New Roman" w:eastAsia="仿宋_GB2312" w:cs="Times New Roman"/>
          <w:color w:val="auto"/>
          <w:sz w:val="32"/>
          <w:szCs w:val="32"/>
          <w:lang w:eastAsia="zh-CN"/>
        </w:rPr>
        <w:t>提高管理水平</w:t>
      </w:r>
      <w:r>
        <w:rPr>
          <w:rFonts w:hint="default" w:ascii="Times New Roman" w:hAnsi="Times New Roman" w:eastAsia="仿宋_GB2312" w:cs="Times New Roman"/>
          <w:color w:val="auto"/>
          <w:sz w:val="32"/>
          <w:szCs w:val="32"/>
        </w:rPr>
        <w:t>后正常运行最大排水（气）量按照以下优先顺序选取，并按工况折算成环境影响评价批复产能规模的水（气）量：</w:t>
      </w:r>
    </w:p>
    <w:p w14:paraId="669F1161">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按照监测规范要求获取的有效连续在线监测数据；</w:t>
      </w:r>
    </w:p>
    <w:p w14:paraId="0D1DF198">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各级生态环境部门对污染物治理设施的监督性监测数据；</w:t>
      </w:r>
    </w:p>
    <w:p w14:paraId="59C8694C">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减排设施竣工验收的监测数据；</w:t>
      </w:r>
    </w:p>
    <w:p w14:paraId="7DB7AF7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委托有资质监测单位的监测数据。企业自测数可作为参考;</w:t>
      </w:r>
    </w:p>
    <w:p w14:paraId="11F30198">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其他情形参照绩效排气量和排水量选取。</w:t>
      </w:r>
    </w:p>
    <w:p w14:paraId="1F716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en-US" w:eastAsia="zh-CN" w:bidi="ar-SA"/>
        </w:rPr>
        <w:t xml:space="preserve">第十条 </w:t>
      </w:r>
      <w:r>
        <w:rPr>
          <w:rFonts w:hint="default" w:ascii="Times New Roman" w:hAnsi="Times New Roman" w:eastAsia="仿宋_GB2312" w:cs="Times New Roman"/>
          <w:color w:val="auto"/>
          <w:sz w:val="32"/>
          <w:szCs w:val="32"/>
        </w:rPr>
        <w:t>现有工业排污单位通过新增污染治理设施核定可交易排污权的，污染治理设施应符合相关行业污染治理技术规范，并确保治理设施长期稳定运行。</w:t>
      </w:r>
    </w:p>
    <w:p w14:paraId="76206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en-US" w:eastAsia="zh-CN" w:bidi="ar-SA"/>
        </w:rPr>
        <w:t>第十一条</w:t>
      </w:r>
      <w:r>
        <w:rPr>
          <w:rFonts w:hint="default" w:ascii="Times New Roman" w:hAnsi="Times New Roman" w:eastAsia="楷体_GB2312" w:cs="Times New Roman"/>
          <w:b w:val="0"/>
          <w:color w:val="auto"/>
          <w:kern w:val="2"/>
          <w:sz w:val="32"/>
          <w:szCs w:val="32"/>
          <w:lang w:val="en-US" w:eastAsia="zh-CN" w:bidi="ar-SA"/>
        </w:rPr>
        <w:t xml:space="preserve"> </w:t>
      </w:r>
      <w:r>
        <w:rPr>
          <w:rFonts w:hint="default" w:ascii="Times New Roman" w:hAnsi="Times New Roman" w:eastAsia="仿宋_GB2312" w:cs="Times New Roman"/>
          <w:color w:val="auto"/>
          <w:sz w:val="32"/>
          <w:szCs w:val="32"/>
        </w:rPr>
        <w:t>现有排污单位因以下原因之一造成排污量下降的，不予核定可交易排污权：</w:t>
      </w:r>
    </w:p>
    <w:p w14:paraId="2ACF0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（一）降低生产负荷、减少产品产量，以及停产但未正式关停的；</w:t>
      </w:r>
    </w:p>
    <w:p w14:paraId="46CBEACF">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（二）生产工艺无实质技改提升，仅改变原料或燃料品质的且不可控的；</w:t>
      </w:r>
    </w:p>
    <w:p w14:paraId="5A52738E">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（三）仅部分时段正常稳定运行污染治理设施的；</w:t>
      </w:r>
    </w:p>
    <w:p w14:paraId="488649C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（四）仅部分时段改用清洁能源或集中供热的；</w:t>
      </w:r>
    </w:p>
    <w:p w14:paraId="3E464EE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（五）其他无法长期稳定减少排污量的；</w:t>
      </w:r>
    </w:p>
    <w:p w14:paraId="73A028F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集中式水污染治理设施</w:t>
      </w:r>
      <w:r>
        <w:rPr>
          <w:rFonts w:hint="default" w:ascii="Times New Roman" w:hAnsi="Times New Roman" w:eastAsia="仿宋_GB2312" w:cs="Times New Roman"/>
          <w:color w:val="auto"/>
          <w:sz w:val="32"/>
          <w:szCs w:val="32"/>
        </w:rPr>
        <w:t>因本条第（三）（五）款造成排污量下降的，不予核定可交易排污权。</w:t>
      </w:r>
    </w:p>
    <w:p w14:paraId="037C788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p>
    <w:p w14:paraId="59A36C64">
      <w:pPr>
        <w:pStyle w:val="8"/>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第四章  政府储备排污权的核定</w:t>
      </w:r>
    </w:p>
    <w:p w14:paraId="4F548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en-US" w:eastAsia="zh-CN" w:bidi="ar-SA"/>
        </w:rPr>
        <w:t>第十二条 核算原则。</w:t>
      </w:r>
      <w:r>
        <w:rPr>
          <w:rFonts w:hint="default" w:ascii="Times New Roman" w:hAnsi="Times New Roman" w:eastAsia="仿宋_GB2312" w:cs="Times New Roman"/>
          <w:color w:val="auto"/>
          <w:sz w:val="32"/>
          <w:szCs w:val="32"/>
        </w:rPr>
        <w:t>主要污染物重点减排工程，经生态环境部</w:t>
      </w:r>
      <w:r>
        <w:rPr>
          <w:rFonts w:hint="default" w:ascii="Times New Roman" w:hAnsi="Times New Roman" w:eastAsia="仿宋_GB2312" w:cs="Times New Roman"/>
          <w:color w:val="auto"/>
          <w:sz w:val="32"/>
          <w:szCs w:val="32"/>
          <w:lang w:eastAsia="zh-CN"/>
        </w:rPr>
        <w:t>认定</w:t>
      </w:r>
      <w:r>
        <w:rPr>
          <w:rFonts w:hint="default" w:ascii="Times New Roman" w:hAnsi="Times New Roman" w:eastAsia="仿宋_GB2312" w:cs="Times New Roman"/>
          <w:color w:val="auto"/>
          <w:sz w:val="32"/>
          <w:szCs w:val="32"/>
        </w:rPr>
        <w:t>减排量后，扣除应承担的减排任务，按照</w:t>
      </w:r>
      <w:r>
        <w:rPr>
          <w:rFonts w:hint="default" w:ascii="Times New Roman" w:hAnsi="Times New Roman" w:eastAsia="仿宋_GB2312" w:cs="Times New Roman"/>
          <w:color w:val="auto"/>
          <w:sz w:val="32"/>
          <w:szCs w:val="32"/>
          <w:lang w:eastAsia="zh-CN"/>
        </w:rPr>
        <w:t>一定</w:t>
      </w:r>
      <w:r>
        <w:rPr>
          <w:rFonts w:hint="default" w:ascii="Times New Roman" w:hAnsi="Times New Roman" w:eastAsia="仿宋_GB2312" w:cs="Times New Roman"/>
          <w:color w:val="auto"/>
          <w:sz w:val="32"/>
          <w:szCs w:val="32"/>
        </w:rPr>
        <w:t>比例核定为政府储备排污权</w:t>
      </w:r>
      <w:r>
        <w:rPr>
          <w:rFonts w:hint="default" w:ascii="Times New Roman" w:hAnsi="Times New Roman" w:eastAsia="仿宋_GB2312" w:cs="Times New Roman"/>
          <w:color w:val="auto"/>
          <w:sz w:val="32"/>
          <w:szCs w:val="32"/>
          <w:lang w:eastAsia="zh-CN"/>
        </w:rPr>
        <w:t>，具体分配比例根据减排项目资金投入情况、自治区及地级市政府储备排污权余量和企业可交易排污权余量，经生态环境厅厅务会研究确定</w:t>
      </w:r>
      <w:r>
        <w:rPr>
          <w:rFonts w:hint="default" w:ascii="Times New Roman" w:hAnsi="Times New Roman" w:eastAsia="仿宋_GB2312" w:cs="Times New Roman"/>
          <w:color w:val="auto"/>
          <w:sz w:val="32"/>
          <w:szCs w:val="32"/>
        </w:rPr>
        <w:t>。</w:t>
      </w:r>
    </w:p>
    <w:p w14:paraId="70297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减排项目未承担减排任务的，</w:t>
      </w:r>
      <w:r>
        <w:rPr>
          <w:rFonts w:hint="default" w:ascii="Times New Roman" w:hAnsi="Times New Roman" w:eastAsia="仿宋_GB2312" w:cs="Times New Roman"/>
          <w:color w:val="auto"/>
          <w:sz w:val="32"/>
          <w:szCs w:val="32"/>
          <w:lang w:eastAsia="zh-CN"/>
        </w:rPr>
        <w:t>按照第九条第三款计算减排量后，</w:t>
      </w:r>
      <w:r>
        <w:rPr>
          <w:rFonts w:hint="default" w:ascii="Times New Roman" w:hAnsi="Times New Roman" w:eastAsia="仿宋_GB2312" w:cs="Times New Roman"/>
          <w:color w:val="auto"/>
          <w:sz w:val="32"/>
          <w:szCs w:val="32"/>
        </w:rPr>
        <w:t>按照一定比例预留为政府储备排污权</w:t>
      </w:r>
      <w:r>
        <w:rPr>
          <w:rFonts w:hint="default" w:ascii="Times New Roman" w:hAnsi="Times New Roman" w:eastAsia="仿宋_GB2312" w:cs="Times New Roman"/>
          <w:color w:val="auto"/>
          <w:sz w:val="32"/>
          <w:szCs w:val="32"/>
          <w:lang w:eastAsia="zh-CN"/>
        </w:rPr>
        <w:t>，具体分配比例根据重点减排工程承担减排任务比例、减排项目资金投入情况、自治区及地级市政府储备排污权余量和企业可交易排污权余量，经生态环境厅厅务会研究确定</w:t>
      </w:r>
      <w:r>
        <w:rPr>
          <w:rFonts w:hint="default" w:ascii="Times New Roman" w:hAnsi="Times New Roman" w:eastAsia="仿宋_GB2312" w:cs="Times New Roman"/>
          <w:color w:val="auto"/>
          <w:sz w:val="32"/>
          <w:szCs w:val="32"/>
        </w:rPr>
        <w:t>。</w:t>
      </w:r>
    </w:p>
    <w:p w14:paraId="7EA78439">
      <w:pPr>
        <w:rPr>
          <w:rFonts w:hint="default" w:ascii="Times New Roman" w:hAnsi="Times New Roman" w:eastAsia="黑体" w:cs="Times New Roman"/>
          <w:color w:val="auto"/>
          <w:sz w:val="32"/>
          <w:szCs w:val="32"/>
        </w:rPr>
      </w:pPr>
    </w:p>
    <w:p w14:paraId="799E9C5C">
      <w:pPr>
        <w:rPr>
          <w:rFonts w:hint="default" w:ascii="Times New Roman" w:hAnsi="Times New Roman" w:eastAsia="黑体" w:cs="Times New Roman"/>
          <w:color w:val="auto"/>
          <w:sz w:val="32"/>
          <w:szCs w:val="32"/>
        </w:rPr>
      </w:pPr>
    </w:p>
    <w:p w14:paraId="6147EEF6">
      <w:pPr>
        <w:rPr>
          <w:rFonts w:hint="default" w:ascii="Times New Roman" w:hAnsi="Times New Roman" w:eastAsia="黑体" w:cs="Times New Roman"/>
          <w:color w:val="auto"/>
          <w:sz w:val="32"/>
          <w:szCs w:val="32"/>
        </w:rPr>
      </w:pPr>
    </w:p>
    <w:p w14:paraId="4C3F856C">
      <w:pPr>
        <w:rPr>
          <w:rFonts w:hint="default" w:ascii="Times New Roman" w:hAnsi="Times New Roman" w:eastAsia="黑体" w:cs="Times New Roman"/>
          <w:color w:val="auto"/>
          <w:sz w:val="32"/>
          <w:szCs w:val="32"/>
        </w:rPr>
      </w:pPr>
    </w:p>
    <w:p w14:paraId="57EF4653">
      <w:pPr>
        <w:rPr>
          <w:rFonts w:hint="default" w:ascii="Times New Roman" w:hAnsi="Times New Roman" w:eastAsia="黑体" w:cs="Times New Roman"/>
          <w:color w:val="auto"/>
          <w:sz w:val="32"/>
          <w:szCs w:val="32"/>
        </w:rPr>
      </w:pPr>
    </w:p>
    <w:p w14:paraId="7C8EF6CA">
      <w:pPr>
        <w:rPr>
          <w:rFonts w:hint="default" w:ascii="Times New Roman" w:hAnsi="Times New Roman" w:eastAsia="黑体" w:cs="Times New Roman"/>
          <w:color w:val="auto"/>
          <w:sz w:val="32"/>
          <w:szCs w:val="32"/>
        </w:rPr>
      </w:pPr>
    </w:p>
    <w:p w14:paraId="66179B76">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p>
    <w:p w14:paraId="1E1A3DB7">
      <w:pPr>
        <w:jc w:val="center"/>
        <w:rPr>
          <w:rFonts w:hint="default" w:ascii="Times New Roman" w:hAnsi="Times New Roman" w:eastAsia="黑体" w:cs="Times New Roman"/>
          <w:color w:val="auto"/>
        </w:rPr>
      </w:pPr>
    </w:p>
    <w:p w14:paraId="31943292">
      <w:pPr>
        <w:spacing w:line="60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主要污染物排污权指标核算认定表</w:t>
      </w:r>
    </w:p>
    <w:p w14:paraId="2C2A1E49">
      <w:pPr>
        <w:ind w:firstLine="1600" w:firstLineChars="500"/>
        <w:rPr>
          <w:rFonts w:hint="default" w:ascii="Times New Roman" w:hAnsi="Times New Roman" w:eastAsia="仿宋_GB2312" w:cs="Times New Roman"/>
          <w:color w:val="auto"/>
          <w:sz w:val="32"/>
          <w:szCs w:val="24"/>
        </w:rPr>
      </w:pPr>
    </w:p>
    <w:p w14:paraId="2D55E570">
      <w:pPr>
        <w:ind w:firstLine="1050" w:firstLineChars="500"/>
        <w:rPr>
          <w:rFonts w:hint="default" w:ascii="Times New Roman" w:hAnsi="Times New Roman" w:cs="Times New Roman"/>
          <w:color w:val="auto"/>
        </w:rPr>
      </w:pPr>
    </w:p>
    <w:p w14:paraId="5F615362">
      <w:pPr>
        <w:ind w:firstLine="1050" w:firstLineChars="500"/>
        <w:rPr>
          <w:rFonts w:hint="default" w:ascii="Times New Roman" w:hAnsi="Times New Roman" w:cs="Times New Roman"/>
          <w:color w:val="auto"/>
        </w:rPr>
      </w:pPr>
    </w:p>
    <w:p w14:paraId="1E705689">
      <w:pPr>
        <w:ind w:firstLine="1050" w:firstLineChars="500"/>
        <w:rPr>
          <w:rFonts w:hint="default" w:ascii="Times New Roman" w:hAnsi="Times New Roman" w:cs="Times New Roman"/>
          <w:color w:val="auto"/>
        </w:rPr>
      </w:pPr>
    </w:p>
    <w:p w14:paraId="2B44F01A">
      <w:pPr>
        <w:ind w:firstLine="1500" w:firstLineChars="500"/>
        <w:rPr>
          <w:rFonts w:hint="default" w:ascii="Times New Roman" w:hAnsi="Times New Roman" w:eastAsia="仿宋" w:cs="Times New Roman"/>
          <w:color w:val="auto"/>
          <w:sz w:val="30"/>
          <w:szCs w:val="30"/>
        </w:rPr>
      </w:pPr>
    </w:p>
    <w:p w14:paraId="2D647CD9">
      <w:pPr>
        <w:ind w:firstLine="1500" w:firstLineChars="500"/>
        <w:rPr>
          <w:rFonts w:hint="default" w:ascii="Times New Roman" w:hAnsi="Times New Roman" w:eastAsia="仿宋" w:cs="Times New Roman"/>
          <w:color w:val="auto"/>
          <w:sz w:val="30"/>
          <w:szCs w:val="30"/>
        </w:rPr>
      </w:pPr>
    </w:p>
    <w:p w14:paraId="0FDAF428">
      <w:pPr>
        <w:ind w:firstLine="1500" w:firstLineChars="500"/>
        <w:rPr>
          <w:rFonts w:hint="default" w:ascii="Times New Roman" w:hAnsi="Times New Roman" w:eastAsia="仿宋" w:cs="Times New Roman"/>
          <w:color w:val="auto"/>
          <w:sz w:val="30"/>
          <w:szCs w:val="30"/>
        </w:rPr>
      </w:pPr>
    </w:p>
    <w:p w14:paraId="747BD9AE">
      <w:pPr>
        <w:ind w:firstLine="1500" w:firstLineChars="500"/>
        <w:rPr>
          <w:rFonts w:hint="default" w:ascii="Times New Roman" w:hAnsi="Times New Roman" w:eastAsia="仿宋" w:cs="Times New Roman"/>
          <w:color w:val="auto"/>
          <w:sz w:val="30"/>
          <w:szCs w:val="30"/>
        </w:rPr>
      </w:pPr>
    </w:p>
    <w:p w14:paraId="1780B517">
      <w:pPr>
        <w:ind w:firstLine="1500" w:firstLineChars="500"/>
        <w:rPr>
          <w:rFonts w:hint="default" w:ascii="Times New Roman" w:hAnsi="Times New Roman" w:eastAsia="仿宋" w:cs="Times New Roman"/>
          <w:color w:val="auto"/>
          <w:sz w:val="30"/>
          <w:szCs w:val="30"/>
        </w:rPr>
      </w:pPr>
    </w:p>
    <w:p w14:paraId="36D8F22A">
      <w:pPr>
        <w:ind w:firstLine="1500" w:firstLineChars="500"/>
        <w:rPr>
          <w:rFonts w:hint="default" w:ascii="Times New Roman" w:hAnsi="Times New Roman" w:eastAsia="仿宋" w:cs="Times New Roman"/>
          <w:color w:val="auto"/>
          <w:sz w:val="30"/>
          <w:szCs w:val="30"/>
        </w:rPr>
      </w:pPr>
    </w:p>
    <w:p w14:paraId="1A00711B">
      <w:pPr>
        <w:ind w:firstLine="1500" w:firstLineChars="500"/>
        <w:rPr>
          <w:rFonts w:hint="default" w:ascii="Times New Roman" w:hAnsi="Times New Roman" w:eastAsia="仿宋" w:cs="Times New Roman"/>
          <w:color w:val="auto"/>
          <w:sz w:val="30"/>
          <w:szCs w:val="30"/>
        </w:rPr>
      </w:pPr>
    </w:p>
    <w:p w14:paraId="3EF4F43A">
      <w:pPr>
        <w:ind w:firstLine="1500" w:firstLineChars="500"/>
        <w:rPr>
          <w:rFonts w:hint="default" w:ascii="Times New Roman" w:hAnsi="Times New Roman" w:eastAsia="仿宋" w:cs="Times New Roman"/>
          <w:color w:val="auto"/>
          <w:sz w:val="30"/>
          <w:szCs w:val="30"/>
        </w:rPr>
      </w:pPr>
    </w:p>
    <w:p w14:paraId="7A788780">
      <w:pPr>
        <w:ind w:firstLine="1600" w:firstLineChars="5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单位名称：（盖章）</w:t>
      </w:r>
    </w:p>
    <w:p w14:paraId="3CD46F0F">
      <w:pPr>
        <w:ind w:firstLine="1600" w:firstLineChars="500"/>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通讯地址：</w:t>
      </w:r>
    </w:p>
    <w:p w14:paraId="49F1770B">
      <w:pPr>
        <w:ind w:firstLine="1600" w:firstLineChars="5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 系 人：</w:t>
      </w:r>
    </w:p>
    <w:p w14:paraId="361182D5">
      <w:pPr>
        <w:ind w:firstLine="1600" w:firstLineChars="500"/>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联系方式：</w:t>
      </w:r>
    </w:p>
    <w:p w14:paraId="1C23328D">
      <w:pPr>
        <w:jc w:val="center"/>
        <w:rPr>
          <w:rFonts w:hint="default" w:ascii="Times New Roman" w:hAnsi="Times New Roman" w:eastAsia="仿宋" w:cs="Times New Roman"/>
          <w:color w:val="auto"/>
        </w:rPr>
      </w:pPr>
    </w:p>
    <w:p w14:paraId="2C929611">
      <w:pPr>
        <w:jc w:val="center"/>
        <w:rPr>
          <w:rFonts w:hint="default" w:ascii="Times New Roman" w:hAnsi="Times New Roman" w:eastAsia="仿宋" w:cs="Times New Roman"/>
          <w:color w:val="auto"/>
        </w:rPr>
      </w:pPr>
    </w:p>
    <w:p w14:paraId="75BEB809">
      <w:pPr>
        <w:jc w:val="center"/>
        <w:rPr>
          <w:rFonts w:hint="default" w:ascii="Times New Roman" w:hAnsi="Times New Roman" w:eastAsia="仿宋" w:cs="Times New Roman"/>
          <w:color w:val="auto"/>
        </w:rPr>
      </w:pPr>
    </w:p>
    <w:p w14:paraId="725EAE9D">
      <w:pPr>
        <w:jc w:val="center"/>
        <w:rPr>
          <w:rFonts w:hint="default" w:ascii="Times New Roman" w:hAnsi="Times New Roman" w:eastAsia="仿宋" w:cs="Times New Roman"/>
          <w:color w:val="auto"/>
        </w:rPr>
      </w:pPr>
    </w:p>
    <w:p w14:paraId="4B5B0A71">
      <w:pPr>
        <w:jc w:val="center"/>
        <w:rPr>
          <w:rFonts w:hint="default" w:ascii="Times New Roman" w:hAnsi="Times New Roman" w:eastAsia="仿宋" w:cs="Times New Roman"/>
          <w:color w:val="auto"/>
        </w:rPr>
      </w:pPr>
    </w:p>
    <w:p w14:paraId="11E17BFA">
      <w:pPr>
        <w:jc w:val="center"/>
        <w:rPr>
          <w:rFonts w:hint="default" w:ascii="Times New Roman" w:hAnsi="Times New Roman" w:eastAsia="仿宋" w:cs="Times New Roman"/>
          <w:color w:val="auto"/>
        </w:rPr>
      </w:pPr>
    </w:p>
    <w:p w14:paraId="0464A7C1">
      <w:pPr>
        <w:jc w:val="center"/>
        <w:rPr>
          <w:rFonts w:hint="default" w:ascii="Times New Roman" w:hAnsi="Times New Roman" w:eastAsia="仿宋" w:cs="Times New Roman"/>
          <w:color w:val="auto"/>
        </w:rPr>
      </w:pPr>
    </w:p>
    <w:p w14:paraId="5D7DBF57">
      <w:pPr>
        <w:jc w:val="center"/>
        <w:rPr>
          <w:rFonts w:hint="default" w:ascii="Times New Roman" w:hAnsi="Times New Roman" w:eastAsia="仿宋_GB2312" w:cs="Times New Roman"/>
          <w:color w:val="auto"/>
          <w:szCs w:val="32"/>
        </w:rPr>
      </w:pPr>
    </w:p>
    <w:p w14:paraId="3D84B080">
      <w:pPr>
        <w:jc w:val="center"/>
        <w:rPr>
          <w:rFonts w:hint="default" w:ascii="Times New Roman" w:hAnsi="Times New Roman" w:eastAsia="仿宋_GB2312" w:cs="Times New Roman"/>
          <w:color w:val="auto"/>
          <w:szCs w:val="32"/>
        </w:rPr>
      </w:pPr>
    </w:p>
    <w:tbl>
      <w:tblPr>
        <w:tblStyle w:val="4"/>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04"/>
        <w:gridCol w:w="15"/>
        <w:gridCol w:w="1390"/>
        <w:gridCol w:w="229"/>
        <w:gridCol w:w="1033"/>
        <w:gridCol w:w="57"/>
        <w:gridCol w:w="748"/>
        <w:gridCol w:w="399"/>
        <w:gridCol w:w="427"/>
        <w:gridCol w:w="97"/>
        <w:gridCol w:w="316"/>
        <w:gridCol w:w="429"/>
        <w:gridCol w:w="211"/>
        <w:gridCol w:w="184"/>
        <w:gridCol w:w="348"/>
        <w:gridCol w:w="1412"/>
      </w:tblGrid>
      <w:tr w14:paraId="0646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499578CB">
            <w:pPr>
              <w:snapToGrid w:val="0"/>
              <w:spacing w:before="31" w:beforeLines="10" w:after="31" w:afterLines="10" w:line="30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rPr>
              <w:t>单位名称</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642EDED5">
            <w:pPr>
              <w:snapToGrid w:val="0"/>
              <w:spacing w:before="31" w:beforeLines="10" w:after="31" w:afterLines="10" w:line="300" w:lineRule="atLeast"/>
              <w:rPr>
                <w:rFonts w:hint="default" w:ascii="Times New Roman" w:hAnsi="Times New Roman" w:cs="Times New Roman"/>
                <w:color w:val="auto"/>
                <w:sz w:val="24"/>
              </w:rPr>
            </w:pPr>
          </w:p>
        </w:tc>
      </w:tr>
      <w:tr w14:paraId="6162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2A84150D">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行政区划代码</w:t>
            </w: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5EAFC32F">
            <w:pPr>
              <w:snapToGrid w:val="0"/>
              <w:spacing w:before="31" w:beforeLines="10" w:after="31" w:afterLines="10" w:line="300" w:lineRule="atLeast"/>
              <w:jc w:val="center"/>
              <w:rPr>
                <w:rFonts w:hint="default" w:ascii="Times New Roman" w:hAnsi="Times New Roman" w:cs="Times New Roman"/>
                <w:color w:val="auto"/>
                <w:sz w:val="24"/>
              </w:rPr>
            </w:pPr>
          </w:p>
        </w:tc>
        <w:tc>
          <w:tcPr>
            <w:tcW w:w="1319" w:type="dxa"/>
            <w:gridSpan w:val="3"/>
            <w:tcBorders>
              <w:top w:val="single" w:color="auto" w:sz="4" w:space="0"/>
              <w:left w:val="single" w:color="auto" w:sz="4" w:space="0"/>
              <w:bottom w:val="single" w:color="auto" w:sz="4" w:space="0"/>
              <w:right w:val="single" w:color="auto" w:sz="4" w:space="0"/>
            </w:tcBorders>
            <w:vAlign w:val="center"/>
          </w:tcPr>
          <w:p w14:paraId="0F2649BA">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1987" w:type="dxa"/>
            <w:gridSpan w:val="5"/>
            <w:tcBorders>
              <w:top w:val="single" w:color="auto" w:sz="4" w:space="0"/>
              <w:left w:val="single" w:color="auto" w:sz="4" w:space="0"/>
              <w:bottom w:val="single" w:color="auto" w:sz="4" w:space="0"/>
              <w:right w:val="single" w:color="auto" w:sz="4" w:space="0"/>
            </w:tcBorders>
            <w:vAlign w:val="center"/>
          </w:tcPr>
          <w:p w14:paraId="3E9DA1F7">
            <w:pPr>
              <w:snapToGrid w:val="0"/>
              <w:spacing w:before="31" w:beforeLines="10" w:after="31" w:afterLines="10" w:line="300" w:lineRule="atLeast"/>
              <w:jc w:val="center"/>
              <w:rPr>
                <w:rFonts w:hint="default" w:ascii="Times New Roman" w:hAnsi="Times New Roman" w:cs="Times New Roman"/>
                <w:color w:val="auto"/>
                <w:sz w:val="24"/>
              </w:rPr>
            </w:pPr>
          </w:p>
        </w:tc>
        <w:tc>
          <w:tcPr>
            <w:tcW w:w="824" w:type="dxa"/>
            <w:gridSpan w:val="3"/>
            <w:tcBorders>
              <w:top w:val="single" w:color="auto" w:sz="4" w:space="0"/>
              <w:left w:val="single" w:color="auto" w:sz="4" w:space="0"/>
              <w:bottom w:val="single" w:color="auto" w:sz="4" w:space="0"/>
              <w:right w:val="single" w:color="auto" w:sz="4" w:space="0"/>
            </w:tcBorders>
            <w:vAlign w:val="center"/>
          </w:tcPr>
          <w:p w14:paraId="460A040E">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行业</w:t>
            </w:r>
            <w:r>
              <w:rPr>
                <w:rFonts w:hint="default" w:ascii="Times New Roman" w:hAnsi="Times New Roman" w:cs="Times New Roman"/>
                <w:color w:val="auto"/>
                <w:sz w:val="24"/>
              </w:rPr>
              <w:br w:type="textWrapping"/>
            </w:r>
            <w:r>
              <w:rPr>
                <w:rFonts w:hint="default" w:ascii="Times New Roman" w:hAnsi="Times New Roman" w:cs="Times New Roman"/>
                <w:color w:val="auto"/>
                <w:sz w:val="24"/>
              </w:rPr>
              <w:t>代码</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497D4A58">
            <w:pPr>
              <w:snapToGrid w:val="0"/>
              <w:spacing w:before="31" w:beforeLines="10" w:after="31" w:afterLines="10" w:line="300" w:lineRule="atLeast"/>
              <w:rPr>
                <w:rFonts w:hint="default" w:ascii="Times New Roman" w:hAnsi="Times New Roman" w:cs="Times New Roman"/>
                <w:color w:val="auto"/>
                <w:sz w:val="24"/>
              </w:rPr>
            </w:pPr>
          </w:p>
        </w:tc>
      </w:tr>
      <w:tr w14:paraId="5C0A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021F5568">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法人代表</w:t>
            </w: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20667AA3">
            <w:pPr>
              <w:snapToGrid w:val="0"/>
              <w:spacing w:before="31" w:beforeLines="10" w:after="31" w:afterLines="10" w:line="300" w:lineRule="atLeast"/>
              <w:jc w:val="center"/>
              <w:rPr>
                <w:rFonts w:hint="default" w:ascii="Times New Roman" w:hAnsi="Times New Roman" w:cs="Times New Roman"/>
                <w:color w:val="auto"/>
                <w:sz w:val="24"/>
              </w:rPr>
            </w:pPr>
          </w:p>
        </w:tc>
        <w:tc>
          <w:tcPr>
            <w:tcW w:w="1319" w:type="dxa"/>
            <w:gridSpan w:val="3"/>
            <w:tcBorders>
              <w:top w:val="single" w:color="auto" w:sz="4" w:space="0"/>
              <w:left w:val="single" w:color="auto" w:sz="4" w:space="0"/>
              <w:bottom w:val="single" w:color="auto" w:sz="4" w:space="0"/>
              <w:right w:val="single" w:color="auto" w:sz="4" w:space="0"/>
            </w:tcBorders>
            <w:vAlign w:val="center"/>
          </w:tcPr>
          <w:p w14:paraId="2CF1B85D">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1987" w:type="dxa"/>
            <w:gridSpan w:val="5"/>
            <w:tcBorders>
              <w:top w:val="single" w:color="auto" w:sz="4" w:space="0"/>
              <w:left w:val="single" w:color="auto" w:sz="4" w:space="0"/>
              <w:bottom w:val="single" w:color="auto" w:sz="4" w:space="0"/>
              <w:right w:val="single" w:color="auto" w:sz="4" w:space="0"/>
            </w:tcBorders>
            <w:vAlign w:val="center"/>
          </w:tcPr>
          <w:p w14:paraId="2B14150A">
            <w:pPr>
              <w:snapToGrid w:val="0"/>
              <w:spacing w:before="31" w:beforeLines="10" w:after="31" w:afterLines="10" w:line="300" w:lineRule="atLeast"/>
              <w:jc w:val="center"/>
              <w:rPr>
                <w:rFonts w:hint="default" w:ascii="Times New Roman" w:hAnsi="Times New Roman" w:cs="Times New Roman"/>
                <w:color w:val="auto"/>
                <w:sz w:val="24"/>
              </w:rPr>
            </w:pPr>
          </w:p>
        </w:tc>
        <w:tc>
          <w:tcPr>
            <w:tcW w:w="824" w:type="dxa"/>
            <w:gridSpan w:val="3"/>
            <w:tcBorders>
              <w:top w:val="single" w:color="auto" w:sz="4" w:space="0"/>
              <w:left w:val="single" w:color="auto" w:sz="4" w:space="0"/>
              <w:bottom w:val="single" w:color="auto" w:sz="4" w:space="0"/>
              <w:right w:val="single" w:color="auto" w:sz="4" w:space="0"/>
            </w:tcBorders>
            <w:vAlign w:val="center"/>
          </w:tcPr>
          <w:p w14:paraId="6143F566">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邮政</w:t>
            </w:r>
            <w:r>
              <w:rPr>
                <w:rFonts w:hint="default" w:ascii="Times New Roman" w:hAnsi="Times New Roman" w:cs="Times New Roman"/>
                <w:color w:val="auto"/>
                <w:sz w:val="24"/>
              </w:rPr>
              <w:br w:type="textWrapping"/>
            </w:r>
            <w:r>
              <w:rPr>
                <w:rFonts w:hint="default" w:ascii="Times New Roman" w:hAnsi="Times New Roman" w:cs="Times New Roman"/>
                <w:color w:val="auto"/>
                <w:sz w:val="24"/>
              </w:rPr>
              <w:t>编码</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52016C63">
            <w:pPr>
              <w:snapToGrid w:val="0"/>
              <w:spacing w:before="31" w:beforeLines="10" w:after="31" w:afterLines="10" w:line="300" w:lineRule="atLeast"/>
              <w:rPr>
                <w:rFonts w:hint="default" w:ascii="Times New Roman" w:hAnsi="Times New Roman" w:cs="Times New Roman"/>
                <w:color w:val="auto"/>
                <w:sz w:val="24"/>
              </w:rPr>
            </w:pPr>
          </w:p>
        </w:tc>
      </w:tr>
      <w:tr w14:paraId="7A59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0C47B9BC">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通信地址</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149CFDB9">
            <w:pPr>
              <w:snapToGrid w:val="0"/>
              <w:spacing w:before="31" w:beforeLines="10" w:after="31" w:afterLines="10" w:line="300" w:lineRule="atLeast"/>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tc>
      </w:tr>
      <w:tr w14:paraId="2C94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4" w:type="dxa"/>
            <w:gridSpan w:val="2"/>
            <w:vMerge w:val="restart"/>
            <w:tcBorders>
              <w:top w:val="single" w:color="auto" w:sz="4" w:space="0"/>
              <w:left w:val="single" w:color="auto" w:sz="4" w:space="0"/>
              <w:right w:val="single" w:color="auto" w:sz="4" w:space="0"/>
            </w:tcBorders>
            <w:vAlign w:val="center"/>
          </w:tcPr>
          <w:p w14:paraId="01E3A522">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生产设施地址</w:t>
            </w:r>
          </w:p>
        </w:tc>
        <w:tc>
          <w:tcPr>
            <w:tcW w:w="3472" w:type="dxa"/>
            <w:gridSpan w:val="6"/>
            <w:vMerge w:val="restart"/>
            <w:tcBorders>
              <w:top w:val="single" w:color="auto" w:sz="4" w:space="0"/>
              <w:left w:val="single" w:color="auto" w:sz="4" w:space="0"/>
              <w:right w:val="single" w:color="auto" w:sz="4" w:space="0"/>
            </w:tcBorders>
            <w:vAlign w:val="center"/>
          </w:tcPr>
          <w:p w14:paraId="2F412DFA">
            <w:pPr>
              <w:snapToGrid w:val="0"/>
              <w:spacing w:before="31" w:beforeLines="10" w:after="31" w:afterLines="10" w:line="300" w:lineRule="atLeast"/>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tc>
        <w:tc>
          <w:tcPr>
            <w:tcW w:w="1668" w:type="dxa"/>
            <w:gridSpan w:val="5"/>
            <w:vMerge w:val="restart"/>
            <w:tcBorders>
              <w:top w:val="single" w:color="auto" w:sz="4" w:space="0"/>
              <w:left w:val="single" w:color="auto" w:sz="4" w:space="0"/>
              <w:right w:val="single" w:color="auto" w:sz="4" w:space="0"/>
            </w:tcBorders>
            <w:vAlign w:val="center"/>
          </w:tcPr>
          <w:p w14:paraId="7A97B81E">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坐标</w:t>
            </w:r>
          </w:p>
        </w:tc>
        <w:tc>
          <w:tcPr>
            <w:tcW w:w="743" w:type="dxa"/>
            <w:gridSpan w:val="3"/>
            <w:tcBorders>
              <w:top w:val="single" w:color="auto" w:sz="4" w:space="0"/>
              <w:left w:val="single" w:color="auto" w:sz="4" w:space="0"/>
              <w:bottom w:val="single" w:color="auto" w:sz="4" w:space="0"/>
              <w:right w:val="single" w:color="auto" w:sz="4" w:space="0"/>
            </w:tcBorders>
            <w:vAlign w:val="center"/>
          </w:tcPr>
          <w:p w14:paraId="31544FDD">
            <w:pPr>
              <w:snapToGrid w:val="0"/>
              <w:spacing w:before="31" w:beforeLines="10" w:after="31" w:afterLines="10" w:line="300" w:lineRule="atLeast"/>
              <w:rPr>
                <w:rFonts w:hint="default" w:ascii="Times New Roman" w:hAnsi="Times New Roman" w:cs="Times New Roman"/>
                <w:color w:val="auto"/>
                <w:sz w:val="24"/>
              </w:rPr>
            </w:pPr>
            <w:r>
              <w:rPr>
                <w:rFonts w:hint="default" w:ascii="Times New Roman" w:hAnsi="Times New Roman" w:cs="Times New Roman"/>
                <w:color w:val="auto"/>
                <w:sz w:val="24"/>
              </w:rPr>
              <w:t>经度</w:t>
            </w:r>
          </w:p>
        </w:tc>
        <w:tc>
          <w:tcPr>
            <w:tcW w:w="1412" w:type="dxa"/>
            <w:tcBorders>
              <w:top w:val="single" w:color="auto" w:sz="4" w:space="0"/>
              <w:left w:val="single" w:color="auto" w:sz="4" w:space="0"/>
              <w:bottom w:val="single" w:color="auto" w:sz="4" w:space="0"/>
              <w:right w:val="single" w:color="auto" w:sz="4" w:space="0"/>
            </w:tcBorders>
            <w:vAlign w:val="center"/>
          </w:tcPr>
          <w:p w14:paraId="295C9BC6">
            <w:pPr>
              <w:snapToGrid w:val="0"/>
              <w:spacing w:before="31" w:beforeLines="10" w:after="31" w:afterLines="10" w:line="300" w:lineRule="atLeast"/>
              <w:rPr>
                <w:rFonts w:hint="default" w:ascii="Times New Roman" w:hAnsi="Times New Roman" w:cs="Times New Roman"/>
                <w:color w:val="auto"/>
                <w:sz w:val="24"/>
              </w:rPr>
            </w:pPr>
          </w:p>
        </w:tc>
      </w:tr>
      <w:tr w14:paraId="4B10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334" w:type="dxa"/>
            <w:gridSpan w:val="2"/>
            <w:vMerge w:val="continue"/>
            <w:tcBorders>
              <w:left w:val="single" w:color="auto" w:sz="4" w:space="0"/>
              <w:bottom w:val="single" w:color="auto" w:sz="4" w:space="0"/>
              <w:right w:val="single" w:color="auto" w:sz="4" w:space="0"/>
            </w:tcBorders>
            <w:vAlign w:val="center"/>
          </w:tcPr>
          <w:p w14:paraId="691C2238">
            <w:pPr>
              <w:snapToGrid w:val="0"/>
              <w:spacing w:before="31" w:beforeLines="10" w:after="31" w:afterLines="10" w:line="300" w:lineRule="atLeast"/>
              <w:jc w:val="center"/>
              <w:rPr>
                <w:rFonts w:hint="default" w:ascii="Times New Roman" w:hAnsi="Times New Roman" w:cs="Times New Roman"/>
                <w:color w:val="auto"/>
                <w:sz w:val="24"/>
              </w:rPr>
            </w:pPr>
          </w:p>
        </w:tc>
        <w:tc>
          <w:tcPr>
            <w:tcW w:w="3472" w:type="dxa"/>
            <w:gridSpan w:val="6"/>
            <w:vMerge w:val="continue"/>
            <w:tcBorders>
              <w:left w:val="single" w:color="auto" w:sz="4" w:space="0"/>
              <w:bottom w:val="single" w:color="auto" w:sz="4" w:space="0"/>
              <w:right w:val="single" w:color="auto" w:sz="4" w:space="0"/>
            </w:tcBorders>
            <w:vAlign w:val="center"/>
          </w:tcPr>
          <w:p w14:paraId="19F937B6">
            <w:pPr>
              <w:snapToGrid w:val="0"/>
              <w:spacing w:before="31" w:beforeLines="10" w:after="31" w:afterLines="10" w:line="300" w:lineRule="atLeast"/>
              <w:rPr>
                <w:rFonts w:hint="default" w:ascii="Times New Roman" w:hAnsi="Times New Roman" w:cs="Times New Roman"/>
                <w:color w:val="auto"/>
                <w:sz w:val="24"/>
              </w:rPr>
            </w:pPr>
          </w:p>
        </w:tc>
        <w:tc>
          <w:tcPr>
            <w:tcW w:w="1668" w:type="dxa"/>
            <w:gridSpan w:val="5"/>
            <w:vMerge w:val="continue"/>
            <w:tcBorders>
              <w:left w:val="single" w:color="auto" w:sz="4" w:space="0"/>
              <w:bottom w:val="single" w:color="auto" w:sz="4" w:space="0"/>
              <w:right w:val="single" w:color="auto" w:sz="4" w:space="0"/>
            </w:tcBorders>
            <w:vAlign w:val="center"/>
          </w:tcPr>
          <w:p w14:paraId="01997FB1">
            <w:pPr>
              <w:snapToGrid w:val="0"/>
              <w:spacing w:before="31" w:beforeLines="10" w:after="31" w:afterLines="10" w:line="300" w:lineRule="atLeast"/>
              <w:rPr>
                <w:rFonts w:hint="default" w:ascii="Times New Roman" w:hAnsi="Times New Roman" w:cs="Times New Roman"/>
                <w:color w:val="auto"/>
                <w:sz w:val="24"/>
              </w:rPr>
            </w:pPr>
          </w:p>
        </w:tc>
        <w:tc>
          <w:tcPr>
            <w:tcW w:w="743" w:type="dxa"/>
            <w:gridSpan w:val="3"/>
            <w:tcBorders>
              <w:top w:val="single" w:color="auto" w:sz="4" w:space="0"/>
              <w:left w:val="single" w:color="auto" w:sz="4" w:space="0"/>
              <w:bottom w:val="single" w:color="auto" w:sz="4" w:space="0"/>
              <w:right w:val="single" w:color="auto" w:sz="4" w:space="0"/>
            </w:tcBorders>
            <w:vAlign w:val="center"/>
          </w:tcPr>
          <w:p w14:paraId="0B656014">
            <w:pPr>
              <w:snapToGrid w:val="0"/>
              <w:spacing w:before="31" w:beforeLines="10" w:after="31" w:afterLines="10" w:line="300" w:lineRule="atLeast"/>
              <w:rPr>
                <w:rFonts w:hint="default" w:ascii="Times New Roman" w:hAnsi="Times New Roman" w:cs="Times New Roman"/>
                <w:color w:val="auto"/>
                <w:sz w:val="24"/>
              </w:rPr>
            </w:pPr>
            <w:r>
              <w:rPr>
                <w:rFonts w:hint="default" w:ascii="Times New Roman" w:hAnsi="Times New Roman" w:cs="Times New Roman"/>
                <w:color w:val="auto"/>
                <w:sz w:val="24"/>
              </w:rPr>
              <w:t>纬度</w:t>
            </w:r>
          </w:p>
        </w:tc>
        <w:tc>
          <w:tcPr>
            <w:tcW w:w="1412" w:type="dxa"/>
            <w:tcBorders>
              <w:top w:val="single" w:color="auto" w:sz="4" w:space="0"/>
              <w:left w:val="single" w:color="auto" w:sz="4" w:space="0"/>
              <w:bottom w:val="single" w:color="auto" w:sz="4" w:space="0"/>
              <w:right w:val="single" w:color="auto" w:sz="4" w:space="0"/>
            </w:tcBorders>
            <w:vAlign w:val="center"/>
          </w:tcPr>
          <w:p w14:paraId="04009C2E">
            <w:pPr>
              <w:snapToGrid w:val="0"/>
              <w:spacing w:before="31" w:beforeLines="10" w:after="31" w:afterLines="10" w:line="300" w:lineRule="atLeast"/>
              <w:rPr>
                <w:rFonts w:hint="default" w:ascii="Times New Roman" w:hAnsi="Times New Roman" w:cs="Times New Roman"/>
                <w:color w:val="auto"/>
                <w:sz w:val="24"/>
              </w:rPr>
            </w:pPr>
          </w:p>
        </w:tc>
      </w:tr>
      <w:tr w14:paraId="387A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77CE64E4">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排污许可证编号</w:t>
            </w:r>
          </w:p>
        </w:tc>
        <w:tc>
          <w:tcPr>
            <w:tcW w:w="4395" w:type="dxa"/>
            <w:gridSpan w:val="9"/>
            <w:tcBorders>
              <w:top w:val="single" w:color="auto" w:sz="4" w:space="0"/>
              <w:left w:val="single" w:color="auto" w:sz="4" w:space="0"/>
              <w:bottom w:val="single" w:color="auto" w:sz="4" w:space="0"/>
              <w:right w:val="single" w:color="auto" w:sz="4" w:space="0"/>
            </w:tcBorders>
            <w:vAlign w:val="center"/>
          </w:tcPr>
          <w:p w14:paraId="54D5FF9B">
            <w:pPr>
              <w:snapToGrid w:val="0"/>
              <w:spacing w:before="31" w:beforeLines="10" w:after="31" w:afterLines="10" w:line="300" w:lineRule="atLeast"/>
              <w:rPr>
                <w:rFonts w:hint="default" w:ascii="Times New Roman" w:hAnsi="Times New Roman" w:cs="Times New Roman"/>
                <w:color w:val="auto"/>
                <w:sz w:val="24"/>
              </w:rPr>
            </w:pPr>
          </w:p>
        </w:tc>
        <w:tc>
          <w:tcPr>
            <w:tcW w:w="745" w:type="dxa"/>
            <w:gridSpan w:val="2"/>
            <w:tcBorders>
              <w:top w:val="single" w:color="auto" w:sz="4" w:space="0"/>
              <w:left w:val="single" w:color="auto" w:sz="4" w:space="0"/>
              <w:bottom w:val="single" w:color="auto" w:sz="4" w:space="0"/>
              <w:right w:val="single" w:color="auto" w:sz="4" w:space="0"/>
            </w:tcBorders>
            <w:vAlign w:val="center"/>
          </w:tcPr>
          <w:p w14:paraId="165B7654">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核发机关</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78403024">
            <w:pPr>
              <w:snapToGrid w:val="0"/>
              <w:spacing w:before="31" w:beforeLines="10" w:after="31" w:afterLines="10" w:line="300" w:lineRule="atLeast"/>
              <w:rPr>
                <w:rFonts w:hint="default" w:ascii="Times New Roman" w:hAnsi="Times New Roman" w:cs="Times New Roman"/>
                <w:color w:val="auto"/>
                <w:sz w:val="24"/>
              </w:rPr>
            </w:pPr>
          </w:p>
        </w:tc>
      </w:tr>
      <w:tr w14:paraId="125D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30423633">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排污许可证管理</w:t>
            </w:r>
          </w:p>
          <w:p w14:paraId="361ACBD5">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类型</w:t>
            </w:r>
          </w:p>
        </w:tc>
        <w:tc>
          <w:tcPr>
            <w:tcW w:w="4395" w:type="dxa"/>
            <w:gridSpan w:val="9"/>
            <w:tcBorders>
              <w:top w:val="single" w:color="auto" w:sz="4" w:space="0"/>
              <w:left w:val="single" w:color="auto" w:sz="4" w:space="0"/>
              <w:bottom w:val="single" w:color="auto" w:sz="4" w:space="0"/>
              <w:right w:val="single" w:color="auto" w:sz="4" w:space="0"/>
            </w:tcBorders>
            <w:vAlign w:val="center"/>
          </w:tcPr>
          <w:p w14:paraId="182213A6">
            <w:pPr>
              <w:snapToGrid w:val="0"/>
              <w:spacing w:before="31" w:beforeLines="10" w:after="31" w:afterLines="10" w:line="300" w:lineRule="atLeast"/>
              <w:rPr>
                <w:rFonts w:hint="default" w:ascii="Times New Roman" w:hAnsi="Times New Roman" w:cs="Times New Roman"/>
                <w:color w:val="auto"/>
                <w:sz w:val="24"/>
              </w:rPr>
            </w:pPr>
          </w:p>
        </w:tc>
        <w:tc>
          <w:tcPr>
            <w:tcW w:w="745" w:type="dxa"/>
            <w:gridSpan w:val="2"/>
            <w:tcBorders>
              <w:top w:val="single" w:color="auto" w:sz="4" w:space="0"/>
              <w:left w:val="single" w:color="auto" w:sz="4" w:space="0"/>
              <w:bottom w:val="single" w:color="auto" w:sz="4" w:space="0"/>
              <w:right w:val="single" w:color="auto" w:sz="4" w:space="0"/>
            </w:tcBorders>
            <w:vAlign w:val="center"/>
          </w:tcPr>
          <w:p w14:paraId="6C11711C">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有效期限</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73FCCD55">
            <w:pPr>
              <w:snapToGrid w:val="0"/>
              <w:spacing w:before="31" w:beforeLines="10" w:after="31" w:afterLines="10" w:line="300" w:lineRule="atLeast"/>
              <w:rPr>
                <w:rFonts w:hint="default" w:ascii="Times New Roman" w:hAnsi="Times New Roman" w:cs="Times New Roman"/>
                <w:color w:val="auto"/>
                <w:sz w:val="24"/>
              </w:rPr>
            </w:pPr>
          </w:p>
        </w:tc>
      </w:tr>
      <w:tr w14:paraId="156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gridSpan w:val="2"/>
            <w:vMerge w:val="restart"/>
            <w:tcBorders>
              <w:top w:val="single" w:color="auto" w:sz="4" w:space="0"/>
              <w:left w:val="single" w:color="auto" w:sz="4" w:space="0"/>
              <w:bottom w:val="single" w:color="auto" w:sz="4" w:space="0"/>
              <w:right w:val="single" w:color="auto" w:sz="4" w:space="0"/>
            </w:tcBorders>
            <w:vAlign w:val="center"/>
          </w:tcPr>
          <w:p w14:paraId="00C3EEBB">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生产信息</w:t>
            </w:r>
          </w:p>
        </w:tc>
        <w:tc>
          <w:tcPr>
            <w:tcW w:w="1405" w:type="dxa"/>
            <w:gridSpan w:val="2"/>
            <w:vMerge w:val="restart"/>
            <w:tcBorders>
              <w:top w:val="single" w:color="auto" w:sz="4" w:space="0"/>
              <w:left w:val="single" w:color="auto" w:sz="4" w:space="0"/>
              <w:bottom w:val="single" w:color="auto" w:sz="4" w:space="0"/>
              <w:right w:val="single" w:color="auto" w:sz="4" w:space="0"/>
            </w:tcBorders>
            <w:vAlign w:val="center"/>
          </w:tcPr>
          <w:p w14:paraId="61DC1FE9">
            <w:pPr>
              <w:snapToGrid w:val="0"/>
              <w:spacing w:before="31" w:beforeLines="10" w:after="31" w:afterLines="10" w:line="300" w:lineRule="atLeast"/>
              <w:jc w:val="center"/>
              <w:rPr>
                <w:rFonts w:hint="default" w:ascii="Times New Roman" w:hAnsi="Times New Roman" w:cs="Times New Roman"/>
                <w:color w:val="auto"/>
                <w:sz w:val="24"/>
                <w:highlight w:val="red"/>
              </w:rPr>
            </w:pPr>
            <w:r>
              <w:rPr>
                <w:rFonts w:hint="default" w:ascii="Times New Roman" w:hAnsi="Times New Roman" w:cs="Times New Roman"/>
                <w:color w:val="auto"/>
                <w:sz w:val="24"/>
              </w:rPr>
              <w:t>主要产品</w:t>
            </w:r>
          </w:p>
        </w:tc>
        <w:tc>
          <w:tcPr>
            <w:tcW w:w="2466" w:type="dxa"/>
            <w:gridSpan w:val="5"/>
            <w:vMerge w:val="restart"/>
            <w:tcBorders>
              <w:top w:val="single" w:color="auto" w:sz="4" w:space="0"/>
              <w:left w:val="single" w:color="auto" w:sz="4" w:space="0"/>
              <w:bottom w:val="single" w:color="auto" w:sz="4" w:space="0"/>
              <w:right w:val="single" w:color="auto" w:sz="4" w:space="0"/>
            </w:tcBorders>
            <w:vAlign w:val="center"/>
          </w:tcPr>
          <w:p w14:paraId="3E571EAF">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生产工艺</w:t>
            </w:r>
          </w:p>
        </w:tc>
        <w:tc>
          <w:tcPr>
            <w:tcW w:w="3424" w:type="dxa"/>
            <w:gridSpan w:val="8"/>
            <w:tcBorders>
              <w:top w:val="single" w:color="auto" w:sz="4" w:space="0"/>
              <w:left w:val="single" w:color="auto" w:sz="4" w:space="0"/>
              <w:bottom w:val="single" w:color="auto" w:sz="4" w:space="0"/>
              <w:right w:val="single" w:color="auto" w:sz="4" w:space="0"/>
            </w:tcBorders>
            <w:vAlign w:val="center"/>
          </w:tcPr>
          <w:p w14:paraId="121FA7EE">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主要产品产能（单位）</w:t>
            </w:r>
          </w:p>
        </w:tc>
      </w:tr>
      <w:tr w14:paraId="54AC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gridSpan w:val="2"/>
            <w:vMerge w:val="continue"/>
            <w:tcBorders>
              <w:top w:val="single" w:color="auto" w:sz="4" w:space="0"/>
              <w:left w:val="single" w:color="auto" w:sz="4" w:space="0"/>
              <w:bottom w:val="single" w:color="auto" w:sz="4" w:space="0"/>
              <w:right w:val="single" w:color="auto" w:sz="4" w:space="0"/>
            </w:tcBorders>
            <w:vAlign w:val="center"/>
          </w:tcPr>
          <w:p w14:paraId="0E884CCD">
            <w:pPr>
              <w:widowControl/>
              <w:jc w:val="left"/>
              <w:rPr>
                <w:rFonts w:hint="default" w:ascii="Times New Roman" w:hAnsi="Times New Roman" w:eastAsia="仿宋_GB2312" w:cs="Times New Roman"/>
                <w:color w:val="auto"/>
                <w:sz w:val="24"/>
                <w:szCs w:val="24"/>
              </w:rPr>
            </w:pPr>
          </w:p>
        </w:tc>
        <w:tc>
          <w:tcPr>
            <w:tcW w:w="1405" w:type="dxa"/>
            <w:gridSpan w:val="2"/>
            <w:vMerge w:val="continue"/>
            <w:tcBorders>
              <w:top w:val="single" w:color="auto" w:sz="4" w:space="0"/>
              <w:left w:val="single" w:color="auto" w:sz="4" w:space="0"/>
              <w:bottom w:val="single" w:color="auto" w:sz="4" w:space="0"/>
              <w:right w:val="single" w:color="auto" w:sz="4" w:space="0"/>
            </w:tcBorders>
            <w:vAlign w:val="center"/>
          </w:tcPr>
          <w:p w14:paraId="66E061DF">
            <w:pPr>
              <w:widowControl/>
              <w:jc w:val="left"/>
              <w:rPr>
                <w:rFonts w:hint="default" w:ascii="Times New Roman" w:hAnsi="Times New Roman" w:eastAsia="仿宋_GB2312" w:cs="Times New Roman"/>
                <w:color w:val="auto"/>
                <w:sz w:val="24"/>
                <w:szCs w:val="24"/>
                <w:highlight w:val="red"/>
              </w:rPr>
            </w:pPr>
          </w:p>
        </w:tc>
        <w:tc>
          <w:tcPr>
            <w:tcW w:w="2466" w:type="dxa"/>
            <w:gridSpan w:val="5"/>
            <w:vMerge w:val="continue"/>
            <w:tcBorders>
              <w:top w:val="single" w:color="auto" w:sz="4" w:space="0"/>
              <w:left w:val="single" w:color="auto" w:sz="4" w:space="0"/>
              <w:bottom w:val="single" w:color="auto" w:sz="4" w:space="0"/>
              <w:right w:val="single" w:color="auto" w:sz="4" w:space="0"/>
            </w:tcBorders>
            <w:vAlign w:val="center"/>
          </w:tcPr>
          <w:p w14:paraId="602B383A">
            <w:pPr>
              <w:widowControl/>
              <w:jc w:val="left"/>
              <w:rPr>
                <w:rFonts w:hint="default" w:ascii="Times New Roman" w:hAnsi="Times New Roman" w:eastAsia="仿宋_GB2312" w:cs="Times New Roman"/>
                <w:color w:val="auto"/>
                <w:sz w:val="24"/>
                <w:szCs w:val="24"/>
              </w:rPr>
            </w:pPr>
          </w:p>
        </w:tc>
        <w:tc>
          <w:tcPr>
            <w:tcW w:w="1480" w:type="dxa"/>
            <w:gridSpan w:val="5"/>
            <w:tcBorders>
              <w:top w:val="single" w:color="auto" w:sz="4" w:space="0"/>
              <w:left w:val="single" w:color="auto" w:sz="4" w:space="0"/>
              <w:bottom w:val="single" w:color="auto" w:sz="4" w:space="0"/>
              <w:right w:val="single" w:color="auto" w:sz="4" w:space="0"/>
            </w:tcBorders>
            <w:vAlign w:val="center"/>
          </w:tcPr>
          <w:p w14:paraId="497C8CFC">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设计产量</w:t>
            </w:r>
          </w:p>
        </w:tc>
        <w:tc>
          <w:tcPr>
            <w:tcW w:w="1944" w:type="dxa"/>
            <w:gridSpan w:val="3"/>
            <w:tcBorders>
              <w:top w:val="single" w:color="auto" w:sz="4" w:space="0"/>
              <w:left w:val="single" w:color="auto" w:sz="4" w:space="0"/>
              <w:bottom w:val="single" w:color="auto" w:sz="4" w:space="0"/>
              <w:right w:val="single" w:color="auto" w:sz="4" w:space="0"/>
            </w:tcBorders>
            <w:vAlign w:val="center"/>
          </w:tcPr>
          <w:p w14:paraId="438A3F15">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实际建设产能</w:t>
            </w:r>
          </w:p>
        </w:tc>
      </w:tr>
      <w:tr w14:paraId="36A8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334" w:type="dxa"/>
            <w:gridSpan w:val="2"/>
            <w:vMerge w:val="continue"/>
            <w:tcBorders>
              <w:top w:val="single" w:color="auto" w:sz="4" w:space="0"/>
              <w:left w:val="single" w:color="auto" w:sz="4" w:space="0"/>
              <w:bottom w:val="single" w:color="auto" w:sz="4" w:space="0"/>
              <w:right w:val="single" w:color="auto" w:sz="4" w:space="0"/>
            </w:tcBorders>
            <w:vAlign w:val="center"/>
          </w:tcPr>
          <w:p w14:paraId="6F6B4F9F">
            <w:pPr>
              <w:widowControl/>
              <w:jc w:val="left"/>
              <w:rPr>
                <w:rFonts w:hint="default" w:ascii="Times New Roman" w:hAnsi="Times New Roman" w:eastAsia="仿宋_GB2312" w:cs="Times New Roman"/>
                <w:color w:val="auto"/>
                <w:sz w:val="24"/>
                <w:szCs w:val="24"/>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7FC6655B">
            <w:pPr>
              <w:snapToGrid w:val="0"/>
              <w:spacing w:before="31" w:beforeLines="10" w:after="31" w:afterLines="10" w:line="300" w:lineRule="atLeast"/>
              <w:rPr>
                <w:rFonts w:hint="default" w:ascii="Times New Roman" w:hAnsi="Times New Roman" w:cs="Times New Roman"/>
                <w:color w:val="auto"/>
                <w:sz w:val="24"/>
              </w:rPr>
            </w:pPr>
          </w:p>
        </w:tc>
        <w:tc>
          <w:tcPr>
            <w:tcW w:w="2466" w:type="dxa"/>
            <w:gridSpan w:val="5"/>
            <w:tcBorders>
              <w:top w:val="single" w:color="auto" w:sz="4" w:space="0"/>
              <w:left w:val="single" w:color="auto" w:sz="4" w:space="0"/>
              <w:bottom w:val="single" w:color="auto" w:sz="4" w:space="0"/>
              <w:right w:val="single" w:color="auto" w:sz="4" w:space="0"/>
            </w:tcBorders>
            <w:vAlign w:val="center"/>
          </w:tcPr>
          <w:p w14:paraId="2D288F40">
            <w:pPr>
              <w:snapToGrid w:val="0"/>
              <w:spacing w:before="31" w:beforeLines="10" w:after="31" w:afterLines="10" w:line="300" w:lineRule="atLeast"/>
              <w:rPr>
                <w:rFonts w:hint="default" w:ascii="Times New Roman" w:hAnsi="Times New Roman" w:cs="Times New Roman"/>
                <w:color w:val="auto"/>
                <w:sz w:val="24"/>
              </w:rPr>
            </w:pPr>
          </w:p>
        </w:tc>
        <w:tc>
          <w:tcPr>
            <w:tcW w:w="1480" w:type="dxa"/>
            <w:gridSpan w:val="5"/>
            <w:tcBorders>
              <w:top w:val="single" w:color="auto" w:sz="4" w:space="0"/>
              <w:left w:val="single" w:color="auto" w:sz="4" w:space="0"/>
              <w:bottom w:val="single" w:color="auto" w:sz="4" w:space="0"/>
              <w:right w:val="single" w:color="auto" w:sz="4" w:space="0"/>
            </w:tcBorders>
            <w:vAlign w:val="center"/>
          </w:tcPr>
          <w:p w14:paraId="356F8CA4">
            <w:pPr>
              <w:snapToGrid w:val="0"/>
              <w:spacing w:before="31" w:beforeLines="10" w:after="31" w:afterLines="10" w:line="300" w:lineRule="atLeast"/>
              <w:rPr>
                <w:rFonts w:hint="default" w:ascii="Times New Roman" w:hAnsi="Times New Roman" w:cs="Times New Roman"/>
                <w:color w:val="auto"/>
                <w:sz w:val="24"/>
              </w:rPr>
            </w:pPr>
          </w:p>
        </w:tc>
        <w:tc>
          <w:tcPr>
            <w:tcW w:w="1944" w:type="dxa"/>
            <w:gridSpan w:val="3"/>
            <w:tcBorders>
              <w:top w:val="single" w:color="auto" w:sz="4" w:space="0"/>
              <w:left w:val="single" w:color="auto" w:sz="4" w:space="0"/>
              <w:bottom w:val="single" w:color="auto" w:sz="4" w:space="0"/>
              <w:right w:val="single" w:color="auto" w:sz="4" w:space="0"/>
            </w:tcBorders>
            <w:vAlign w:val="center"/>
          </w:tcPr>
          <w:p w14:paraId="7A9EFC28">
            <w:pPr>
              <w:snapToGrid w:val="0"/>
              <w:spacing w:before="31" w:beforeLines="10" w:after="31" w:afterLines="10" w:line="300" w:lineRule="atLeast"/>
              <w:rPr>
                <w:rFonts w:hint="default" w:ascii="Times New Roman" w:hAnsi="Times New Roman" w:cs="Times New Roman"/>
                <w:color w:val="auto"/>
                <w:sz w:val="24"/>
              </w:rPr>
            </w:pPr>
          </w:p>
        </w:tc>
      </w:tr>
      <w:tr w14:paraId="7B54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34" w:type="dxa"/>
            <w:gridSpan w:val="2"/>
            <w:vMerge w:val="continue"/>
            <w:tcBorders>
              <w:top w:val="single" w:color="auto" w:sz="4" w:space="0"/>
              <w:left w:val="single" w:color="auto" w:sz="4" w:space="0"/>
              <w:bottom w:val="single" w:color="auto" w:sz="4" w:space="0"/>
              <w:right w:val="single" w:color="auto" w:sz="4" w:space="0"/>
            </w:tcBorders>
            <w:vAlign w:val="center"/>
          </w:tcPr>
          <w:p w14:paraId="55D1AC5E">
            <w:pPr>
              <w:widowControl/>
              <w:jc w:val="left"/>
              <w:rPr>
                <w:rFonts w:hint="default" w:ascii="Times New Roman" w:hAnsi="Times New Roman" w:eastAsia="仿宋_GB2312" w:cs="Times New Roman"/>
                <w:color w:val="auto"/>
                <w:sz w:val="24"/>
                <w:szCs w:val="24"/>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35BC5257">
            <w:pPr>
              <w:snapToGrid w:val="0"/>
              <w:spacing w:before="31" w:beforeLines="10" w:after="31" w:afterLines="10" w:line="300" w:lineRule="atLeast"/>
              <w:rPr>
                <w:rFonts w:hint="default" w:ascii="Times New Roman" w:hAnsi="Times New Roman" w:cs="Times New Roman"/>
                <w:color w:val="auto"/>
                <w:sz w:val="24"/>
              </w:rPr>
            </w:pPr>
          </w:p>
        </w:tc>
        <w:tc>
          <w:tcPr>
            <w:tcW w:w="2466" w:type="dxa"/>
            <w:gridSpan w:val="5"/>
            <w:tcBorders>
              <w:top w:val="single" w:color="auto" w:sz="4" w:space="0"/>
              <w:left w:val="single" w:color="auto" w:sz="4" w:space="0"/>
              <w:bottom w:val="single" w:color="auto" w:sz="4" w:space="0"/>
              <w:right w:val="single" w:color="auto" w:sz="4" w:space="0"/>
            </w:tcBorders>
            <w:vAlign w:val="center"/>
          </w:tcPr>
          <w:p w14:paraId="2EE44E75">
            <w:pPr>
              <w:snapToGrid w:val="0"/>
              <w:spacing w:before="31" w:beforeLines="10" w:after="31" w:afterLines="10" w:line="300" w:lineRule="atLeast"/>
              <w:rPr>
                <w:rFonts w:hint="default" w:ascii="Times New Roman" w:hAnsi="Times New Roman" w:cs="Times New Roman"/>
                <w:color w:val="auto"/>
                <w:sz w:val="24"/>
              </w:rPr>
            </w:pPr>
          </w:p>
        </w:tc>
        <w:tc>
          <w:tcPr>
            <w:tcW w:w="1480" w:type="dxa"/>
            <w:gridSpan w:val="5"/>
            <w:tcBorders>
              <w:top w:val="single" w:color="auto" w:sz="4" w:space="0"/>
              <w:left w:val="single" w:color="auto" w:sz="4" w:space="0"/>
              <w:bottom w:val="single" w:color="auto" w:sz="4" w:space="0"/>
              <w:right w:val="single" w:color="auto" w:sz="4" w:space="0"/>
            </w:tcBorders>
            <w:vAlign w:val="center"/>
          </w:tcPr>
          <w:p w14:paraId="6DBFAAFD">
            <w:pPr>
              <w:snapToGrid w:val="0"/>
              <w:spacing w:before="31" w:beforeLines="10" w:after="31" w:afterLines="10" w:line="300" w:lineRule="atLeast"/>
              <w:rPr>
                <w:rFonts w:hint="default" w:ascii="Times New Roman" w:hAnsi="Times New Roman" w:cs="Times New Roman"/>
                <w:color w:val="auto"/>
                <w:sz w:val="24"/>
              </w:rPr>
            </w:pPr>
          </w:p>
        </w:tc>
        <w:tc>
          <w:tcPr>
            <w:tcW w:w="1944" w:type="dxa"/>
            <w:gridSpan w:val="3"/>
            <w:tcBorders>
              <w:top w:val="single" w:color="auto" w:sz="4" w:space="0"/>
              <w:left w:val="single" w:color="auto" w:sz="4" w:space="0"/>
              <w:bottom w:val="single" w:color="auto" w:sz="4" w:space="0"/>
              <w:right w:val="single" w:color="auto" w:sz="4" w:space="0"/>
            </w:tcBorders>
            <w:vAlign w:val="center"/>
          </w:tcPr>
          <w:p w14:paraId="061BD10E">
            <w:pPr>
              <w:snapToGrid w:val="0"/>
              <w:spacing w:before="31" w:beforeLines="10" w:after="31" w:afterLines="10" w:line="300" w:lineRule="atLeast"/>
              <w:rPr>
                <w:rFonts w:hint="default" w:ascii="Times New Roman" w:hAnsi="Times New Roman" w:cs="Times New Roman"/>
                <w:color w:val="auto"/>
                <w:sz w:val="24"/>
              </w:rPr>
            </w:pPr>
          </w:p>
        </w:tc>
      </w:tr>
      <w:tr w14:paraId="4CE7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34" w:type="dxa"/>
            <w:gridSpan w:val="2"/>
            <w:vMerge w:val="continue"/>
            <w:tcBorders>
              <w:top w:val="single" w:color="auto" w:sz="4" w:space="0"/>
              <w:left w:val="single" w:color="auto" w:sz="4" w:space="0"/>
              <w:bottom w:val="single" w:color="auto" w:sz="4" w:space="0"/>
              <w:right w:val="single" w:color="auto" w:sz="4" w:space="0"/>
            </w:tcBorders>
            <w:vAlign w:val="center"/>
          </w:tcPr>
          <w:p w14:paraId="3BA97E49">
            <w:pPr>
              <w:widowControl/>
              <w:jc w:val="left"/>
              <w:rPr>
                <w:rFonts w:hint="default" w:ascii="Times New Roman" w:hAnsi="Times New Roman" w:eastAsia="仿宋_GB2312" w:cs="Times New Roman"/>
                <w:color w:val="auto"/>
                <w:sz w:val="24"/>
                <w:szCs w:val="24"/>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0125EE0A">
            <w:pPr>
              <w:snapToGrid w:val="0"/>
              <w:spacing w:before="31" w:beforeLines="10" w:after="31" w:afterLines="10" w:line="300" w:lineRule="atLeast"/>
              <w:rPr>
                <w:rFonts w:hint="default" w:ascii="Times New Roman" w:hAnsi="Times New Roman" w:cs="Times New Roman"/>
                <w:color w:val="auto"/>
                <w:sz w:val="24"/>
              </w:rPr>
            </w:pPr>
          </w:p>
        </w:tc>
        <w:tc>
          <w:tcPr>
            <w:tcW w:w="2466" w:type="dxa"/>
            <w:gridSpan w:val="5"/>
            <w:tcBorders>
              <w:top w:val="single" w:color="auto" w:sz="4" w:space="0"/>
              <w:left w:val="single" w:color="auto" w:sz="4" w:space="0"/>
              <w:bottom w:val="single" w:color="auto" w:sz="4" w:space="0"/>
              <w:right w:val="single" w:color="auto" w:sz="4" w:space="0"/>
            </w:tcBorders>
            <w:vAlign w:val="center"/>
          </w:tcPr>
          <w:p w14:paraId="41381E08">
            <w:pPr>
              <w:snapToGrid w:val="0"/>
              <w:spacing w:before="31" w:beforeLines="10" w:after="31" w:afterLines="10" w:line="300" w:lineRule="atLeast"/>
              <w:rPr>
                <w:rFonts w:hint="default" w:ascii="Times New Roman" w:hAnsi="Times New Roman" w:cs="Times New Roman"/>
                <w:color w:val="auto"/>
                <w:sz w:val="24"/>
              </w:rPr>
            </w:pPr>
          </w:p>
        </w:tc>
        <w:tc>
          <w:tcPr>
            <w:tcW w:w="1480" w:type="dxa"/>
            <w:gridSpan w:val="5"/>
            <w:tcBorders>
              <w:top w:val="single" w:color="auto" w:sz="4" w:space="0"/>
              <w:left w:val="single" w:color="auto" w:sz="4" w:space="0"/>
              <w:bottom w:val="single" w:color="auto" w:sz="4" w:space="0"/>
              <w:right w:val="single" w:color="auto" w:sz="4" w:space="0"/>
            </w:tcBorders>
            <w:vAlign w:val="center"/>
          </w:tcPr>
          <w:p w14:paraId="4DC357B2">
            <w:pPr>
              <w:snapToGrid w:val="0"/>
              <w:spacing w:before="31" w:beforeLines="10" w:after="31" w:afterLines="10" w:line="300" w:lineRule="atLeast"/>
              <w:rPr>
                <w:rFonts w:hint="default" w:ascii="Times New Roman" w:hAnsi="Times New Roman" w:cs="Times New Roman"/>
                <w:color w:val="auto"/>
                <w:sz w:val="24"/>
              </w:rPr>
            </w:pPr>
          </w:p>
        </w:tc>
        <w:tc>
          <w:tcPr>
            <w:tcW w:w="1944" w:type="dxa"/>
            <w:gridSpan w:val="3"/>
            <w:tcBorders>
              <w:top w:val="single" w:color="auto" w:sz="4" w:space="0"/>
              <w:left w:val="single" w:color="auto" w:sz="4" w:space="0"/>
              <w:bottom w:val="single" w:color="auto" w:sz="4" w:space="0"/>
              <w:right w:val="single" w:color="auto" w:sz="4" w:space="0"/>
            </w:tcBorders>
            <w:vAlign w:val="center"/>
          </w:tcPr>
          <w:p w14:paraId="103ABE6E">
            <w:pPr>
              <w:snapToGrid w:val="0"/>
              <w:spacing w:before="31" w:beforeLines="10" w:after="31" w:afterLines="10" w:line="300" w:lineRule="atLeast"/>
              <w:rPr>
                <w:rFonts w:hint="default" w:ascii="Times New Roman" w:hAnsi="Times New Roman" w:cs="Times New Roman"/>
                <w:color w:val="auto"/>
                <w:sz w:val="24"/>
              </w:rPr>
            </w:pPr>
          </w:p>
        </w:tc>
      </w:tr>
      <w:tr w14:paraId="5C10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34" w:type="dxa"/>
            <w:gridSpan w:val="2"/>
            <w:vMerge w:val="continue"/>
            <w:tcBorders>
              <w:top w:val="single" w:color="auto" w:sz="4" w:space="0"/>
              <w:left w:val="single" w:color="auto" w:sz="4" w:space="0"/>
              <w:bottom w:val="single" w:color="auto" w:sz="4" w:space="0"/>
              <w:right w:val="single" w:color="auto" w:sz="4" w:space="0"/>
            </w:tcBorders>
            <w:vAlign w:val="center"/>
          </w:tcPr>
          <w:p w14:paraId="455A2151">
            <w:pPr>
              <w:widowControl/>
              <w:jc w:val="left"/>
              <w:rPr>
                <w:rFonts w:hint="default" w:ascii="Times New Roman" w:hAnsi="Times New Roman" w:eastAsia="仿宋_GB2312" w:cs="Times New Roman"/>
                <w:color w:val="auto"/>
                <w:sz w:val="24"/>
                <w:szCs w:val="24"/>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7584FA1C">
            <w:pPr>
              <w:snapToGrid w:val="0"/>
              <w:spacing w:before="31" w:beforeLines="10" w:after="31" w:afterLines="10" w:line="300" w:lineRule="atLeast"/>
              <w:rPr>
                <w:rFonts w:hint="default" w:ascii="Times New Roman" w:hAnsi="Times New Roman" w:cs="Times New Roman"/>
                <w:color w:val="auto"/>
                <w:sz w:val="24"/>
              </w:rPr>
            </w:pPr>
          </w:p>
        </w:tc>
        <w:tc>
          <w:tcPr>
            <w:tcW w:w="2466" w:type="dxa"/>
            <w:gridSpan w:val="5"/>
            <w:tcBorders>
              <w:top w:val="single" w:color="auto" w:sz="4" w:space="0"/>
              <w:left w:val="single" w:color="auto" w:sz="4" w:space="0"/>
              <w:bottom w:val="single" w:color="auto" w:sz="4" w:space="0"/>
              <w:right w:val="single" w:color="auto" w:sz="4" w:space="0"/>
            </w:tcBorders>
            <w:vAlign w:val="center"/>
          </w:tcPr>
          <w:p w14:paraId="5B6E8BC0">
            <w:pPr>
              <w:snapToGrid w:val="0"/>
              <w:spacing w:before="31" w:beforeLines="10" w:after="31" w:afterLines="10" w:line="300" w:lineRule="atLeast"/>
              <w:rPr>
                <w:rFonts w:hint="default" w:ascii="Times New Roman" w:hAnsi="Times New Roman" w:cs="Times New Roman"/>
                <w:color w:val="auto"/>
                <w:sz w:val="24"/>
              </w:rPr>
            </w:pPr>
          </w:p>
        </w:tc>
        <w:tc>
          <w:tcPr>
            <w:tcW w:w="1480" w:type="dxa"/>
            <w:gridSpan w:val="5"/>
            <w:tcBorders>
              <w:top w:val="single" w:color="auto" w:sz="4" w:space="0"/>
              <w:left w:val="single" w:color="auto" w:sz="4" w:space="0"/>
              <w:bottom w:val="single" w:color="auto" w:sz="4" w:space="0"/>
              <w:right w:val="single" w:color="auto" w:sz="4" w:space="0"/>
            </w:tcBorders>
            <w:vAlign w:val="center"/>
          </w:tcPr>
          <w:p w14:paraId="142BADA4">
            <w:pPr>
              <w:snapToGrid w:val="0"/>
              <w:spacing w:before="31" w:beforeLines="10" w:after="31" w:afterLines="10" w:line="300" w:lineRule="atLeast"/>
              <w:rPr>
                <w:rFonts w:hint="default" w:ascii="Times New Roman" w:hAnsi="Times New Roman" w:cs="Times New Roman"/>
                <w:color w:val="auto"/>
                <w:sz w:val="24"/>
              </w:rPr>
            </w:pPr>
          </w:p>
        </w:tc>
        <w:tc>
          <w:tcPr>
            <w:tcW w:w="1944" w:type="dxa"/>
            <w:gridSpan w:val="3"/>
            <w:tcBorders>
              <w:top w:val="single" w:color="auto" w:sz="4" w:space="0"/>
              <w:left w:val="single" w:color="auto" w:sz="4" w:space="0"/>
              <w:bottom w:val="single" w:color="auto" w:sz="4" w:space="0"/>
              <w:right w:val="single" w:color="auto" w:sz="4" w:space="0"/>
            </w:tcBorders>
            <w:vAlign w:val="center"/>
          </w:tcPr>
          <w:p w14:paraId="23E91F81">
            <w:pPr>
              <w:snapToGrid w:val="0"/>
              <w:spacing w:before="31" w:beforeLines="10" w:after="31" w:afterLines="10" w:line="300" w:lineRule="atLeast"/>
              <w:rPr>
                <w:rFonts w:hint="default" w:ascii="Times New Roman" w:hAnsi="Times New Roman" w:cs="Times New Roman"/>
                <w:color w:val="auto"/>
                <w:sz w:val="24"/>
              </w:rPr>
            </w:pPr>
          </w:p>
        </w:tc>
      </w:tr>
      <w:tr w14:paraId="0C67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30" w:type="dxa"/>
            <w:vMerge w:val="restart"/>
            <w:tcBorders>
              <w:top w:val="single" w:color="auto" w:sz="4" w:space="0"/>
              <w:left w:val="single" w:color="auto" w:sz="4" w:space="0"/>
              <w:bottom w:val="single" w:color="auto" w:sz="4" w:space="0"/>
              <w:right w:val="single" w:color="auto" w:sz="4" w:space="0"/>
            </w:tcBorders>
            <w:vAlign w:val="center"/>
          </w:tcPr>
          <w:p w14:paraId="40819685">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污染防治措施</w:t>
            </w:r>
          </w:p>
        </w:tc>
        <w:tc>
          <w:tcPr>
            <w:tcW w:w="1204" w:type="dxa"/>
            <w:tcBorders>
              <w:top w:val="single" w:color="auto" w:sz="4" w:space="0"/>
              <w:left w:val="single" w:color="auto" w:sz="4" w:space="0"/>
              <w:bottom w:val="single" w:color="auto" w:sz="4" w:space="0"/>
              <w:right w:val="single" w:color="auto" w:sz="4" w:space="0"/>
            </w:tcBorders>
            <w:vAlign w:val="center"/>
          </w:tcPr>
          <w:p w14:paraId="6D28AD27">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废气</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64A932B0">
            <w:pPr>
              <w:snapToGrid w:val="0"/>
              <w:spacing w:before="31" w:beforeLines="10" w:after="31" w:afterLines="10" w:line="300" w:lineRule="atLeast"/>
              <w:rPr>
                <w:rFonts w:hint="default" w:ascii="Times New Roman" w:hAnsi="Times New Roman" w:cs="Times New Roman"/>
                <w:color w:val="auto"/>
                <w:sz w:val="24"/>
              </w:rPr>
            </w:pPr>
          </w:p>
          <w:p w14:paraId="546A0DB5">
            <w:pPr>
              <w:snapToGrid w:val="0"/>
              <w:spacing w:before="31" w:beforeLines="10" w:after="31" w:afterLines="10" w:line="300" w:lineRule="atLeast"/>
              <w:rPr>
                <w:rFonts w:hint="default" w:ascii="Times New Roman" w:hAnsi="Times New Roman" w:cs="Times New Roman"/>
                <w:color w:val="auto"/>
                <w:sz w:val="24"/>
              </w:rPr>
            </w:pPr>
          </w:p>
          <w:p w14:paraId="4A7922D3">
            <w:pPr>
              <w:snapToGrid w:val="0"/>
              <w:spacing w:before="31" w:beforeLines="10" w:after="31" w:afterLines="10" w:line="300" w:lineRule="atLeast"/>
              <w:rPr>
                <w:rFonts w:hint="default" w:ascii="Times New Roman" w:hAnsi="Times New Roman" w:cs="Times New Roman"/>
                <w:color w:val="auto"/>
                <w:sz w:val="24"/>
              </w:rPr>
            </w:pPr>
          </w:p>
        </w:tc>
      </w:tr>
      <w:tr w14:paraId="3C25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30" w:type="dxa"/>
            <w:vMerge w:val="continue"/>
            <w:tcBorders>
              <w:top w:val="single" w:color="auto" w:sz="4" w:space="0"/>
              <w:left w:val="single" w:color="auto" w:sz="4" w:space="0"/>
              <w:bottom w:val="single" w:color="auto" w:sz="4" w:space="0"/>
              <w:right w:val="single" w:color="auto" w:sz="4" w:space="0"/>
            </w:tcBorders>
            <w:vAlign w:val="center"/>
          </w:tcPr>
          <w:p w14:paraId="0634850A">
            <w:pPr>
              <w:widowControl/>
              <w:jc w:val="left"/>
              <w:rPr>
                <w:rFonts w:hint="default" w:ascii="Times New Roman" w:hAnsi="Times New Roman" w:eastAsia="仿宋_GB2312" w:cs="Times New Roman"/>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19DDDEFB">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废水</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72D13C45">
            <w:pPr>
              <w:snapToGrid w:val="0"/>
              <w:spacing w:before="31" w:beforeLines="10" w:after="31" w:afterLines="10" w:line="300" w:lineRule="atLeast"/>
              <w:rPr>
                <w:rFonts w:hint="default" w:ascii="Times New Roman" w:hAnsi="Times New Roman" w:cs="Times New Roman"/>
                <w:color w:val="auto"/>
                <w:sz w:val="24"/>
              </w:rPr>
            </w:pPr>
          </w:p>
          <w:p w14:paraId="4E50EA99">
            <w:pPr>
              <w:snapToGrid w:val="0"/>
              <w:spacing w:before="31" w:beforeLines="10" w:after="31" w:afterLines="10" w:line="300" w:lineRule="atLeast"/>
              <w:rPr>
                <w:rFonts w:hint="default" w:ascii="Times New Roman" w:hAnsi="Times New Roman" w:cs="Times New Roman"/>
                <w:color w:val="auto"/>
                <w:sz w:val="24"/>
              </w:rPr>
            </w:pPr>
          </w:p>
          <w:p w14:paraId="57CCAA10">
            <w:pPr>
              <w:snapToGrid w:val="0"/>
              <w:spacing w:before="31" w:beforeLines="10" w:after="31" w:afterLines="10" w:line="300" w:lineRule="atLeast"/>
              <w:rPr>
                <w:rFonts w:hint="default" w:ascii="Times New Roman" w:hAnsi="Times New Roman" w:cs="Times New Roman"/>
                <w:color w:val="auto"/>
                <w:sz w:val="24"/>
              </w:rPr>
            </w:pPr>
          </w:p>
        </w:tc>
      </w:tr>
      <w:tr w14:paraId="03A0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30" w:type="dxa"/>
            <w:vMerge w:val="continue"/>
            <w:tcBorders>
              <w:top w:val="single" w:color="auto" w:sz="4" w:space="0"/>
              <w:left w:val="single" w:color="auto" w:sz="4" w:space="0"/>
              <w:bottom w:val="single" w:color="auto" w:sz="4" w:space="0"/>
              <w:right w:val="single" w:color="auto" w:sz="4" w:space="0"/>
            </w:tcBorders>
            <w:vAlign w:val="center"/>
          </w:tcPr>
          <w:p w14:paraId="50AF88F0">
            <w:pPr>
              <w:widowControl/>
              <w:jc w:val="left"/>
              <w:rPr>
                <w:rFonts w:hint="default" w:ascii="Times New Roman" w:hAnsi="Times New Roman" w:eastAsia="仿宋_GB2312" w:cs="Times New Roman"/>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20BF1206">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固体废物</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12803F8D">
            <w:pPr>
              <w:snapToGrid w:val="0"/>
              <w:spacing w:before="31" w:beforeLines="10" w:after="31" w:afterLines="10" w:line="300" w:lineRule="atLeast"/>
              <w:rPr>
                <w:rFonts w:hint="default" w:ascii="Times New Roman" w:hAnsi="Times New Roman" w:cs="Times New Roman"/>
                <w:color w:val="auto"/>
                <w:sz w:val="24"/>
              </w:rPr>
            </w:pPr>
          </w:p>
          <w:p w14:paraId="16EC77FE">
            <w:pPr>
              <w:snapToGrid w:val="0"/>
              <w:spacing w:before="31" w:beforeLines="10" w:after="31" w:afterLines="10" w:line="300" w:lineRule="atLeast"/>
              <w:rPr>
                <w:rFonts w:hint="default" w:ascii="Times New Roman" w:hAnsi="Times New Roman" w:cs="Times New Roman"/>
                <w:color w:val="auto"/>
                <w:sz w:val="24"/>
              </w:rPr>
            </w:pPr>
          </w:p>
          <w:p w14:paraId="33F18901">
            <w:pPr>
              <w:snapToGrid w:val="0"/>
              <w:spacing w:before="31" w:beforeLines="10" w:after="31" w:afterLines="10" w:line="300" w:lineRule="atLeast"/>
              <w:rPr>
                <w:rFonts w:hint="default" w:ascii="Times New Roman" w:hAnsi="Times New Roman" w:cs="Times New Roman"/>
                <w:color w:val="auto"/>
                <w:sz w:val="24"/>
              </w:rPr>
            </w:pPr>
          </w:p>
        </w:tc>
      </w:tr>
      <w:tr w14:paraId="0034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0" w:type="dxa"/>
            <w:vMerge w:val="continue"/>
            <w:tcBorders>
              <w:top w:val="single" w:color="auto" w:sz="4" w:space="0"/>
              <w:left w:val="single" w:color="auto" w:sz="4" w:space="0"/>
              <w:bottom w:val="single" w:color="auto" w:sz="4" w:space="0"/>
              <w:right w:val="single" w:color="auto" w:sz="4" w:space="0"/>
            </w:tcBorders>
            <w:vAlign w:val="center"/>
          </w:tcPr>
          <w:p w14:paraId="75E47F3E">
            <w:pPr>
              <w:widowControl/>
              <w:jc w:val="left"/>
              <w:rPr>
                <w:rFonts w:hint="default" w:ascii="Times New Roman" w:hAnsi="Times New Roman" w:eastAsia="仿宋_GB2312" w:cs="Times New Roman"/>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6EBC4B5D">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噪声</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3068BCF4">
            <w:pPr>
              <w:snapToGrid w:val="0"/>
              <w:spacing w:before="31" w:beforeLines="10" w:after="31" w:afterLines="10" w:line="300" w:lineRule="atLeast"/>
              <w:rPr>
                <w:rFonts w:hint="default" w:ascii="Times New Roman" w:hAnsi="Times New Roman" w:cs="Times New Roman"/>
                <w:color w:val="auto"/>
                <w:sz w:val="24"/>
              </w:rPr>
            </w:pPr>
          </w:p>
          <w:p w14:paraId="5B5E5502">
            <w:pPr>
              <w:snapToGrid w:val="0"/>
              <w:spacing w:before="31" w:beforeLines="10" w:after="31" w:afterLines="10" w:line="300" w:lineRule="atLeast"/>
              <w:rPr>
                <w:rFonts w:hint="default" w:ascii="Times New Roman" w:hAnsi="Times New Roman" w:cs="Times New Roman"/>
                <w:color w:val="auto"/>
                <w:sz w:val="24"/>
              </w:rPr>
            </w:pPr>
          </w:p>
          <w:p w14:paraId="3652118D">
            <w:pPr>
              <w:snapToGrid w:val="0"/>
              <w:spacing w:before="31" w:beforeLines="10" w:after="31" w:afterLines="10" w:line="300" w:lineRule="atLeast"/>
              <w:rPr>
                <w:rFonts w:hint="default" w:ascii="Times New Roman" w:hAnsi="Times New Roman" w:cs="Times New Roman"/>
                <w:color w:val="auto"/>
                <w:sz w:val="24"/>
              </w:rPr>
            </w:pPr>
          </w:p>
          <w:p w14:paraId="5725BF78">
            <w:pPr>
              <w:snapToGrid w:val="0"/>
              <w:spacing w:before="31" w:beforeLines="10" w:after="31" w:afterLines="10" w:line="300" w:lineRule="atLeast"/>
              <w:rPr>
                <w:rFonts w:hint="default" w:ascii="Times New Roman" w:hAnsi="Times New Roman" w:cs="Times New Roman"/>
                <w:color w:val="auto"/>
                <w:sz w:val="24"/>
              </w:rPr>
            </w:pPr>
          </w:p>
        </w:tc>
      </w:tr>
      <w:tr w14:paraId="05F5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9" w:type="dxa"/>
            <w:gridSpan w:val="17"/>
            <w:tcBorders>
              <w:top w:val="single" w:color="auto" w:sz="4" w:space="0"/>
              <w:left w:val="single" w:color="auto" w:sz="4" w:space="0"/>
              <w:bottom w:val="single" w:color="auto" w:sz="4" w:space="0"/>
              <w:right w:val="single" w:color="auto" w:sz="4" w:space="0"/>
            </w:tcBorders>
            <w:vAlign w:val="center"/>
          </w:tcPr>
          <w:p w14:paraId="4B1AA603">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b/>
                <w:bCs/>
                <w:color w:val="auto"/>
                <w:sz w:val="24"/>
              </w:rPr>
              <w:t>初始排污权核定量</w:t>
            </w:r>
          </w:p>
        </w:tc>
      </w:tr>
      <w:tr w14:paraId="332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752700D5">
            <w:pPr>
              <w:snapToGrid w:val="0"/>
              <w:spacing w:before="31" w:beforeLines="10" w:after="31" w:afterLines="10" w:line="300" w:lineRule="atLeas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污染物种类</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4D85A82E">
            <w:pPr>
              <w:snapToGrid w:val="0"/>
              <w:spacing w:before="31" w:beforeLines="10" w:after="31" w:afterLines="10" w:line="300" w:lineRule="atLeast"/>
              <w:ind w:left="2" w:leftChars="1"/>
              <w:jc w:val="center"/>
              <w:rPr>
                <w:rFonts w:hint="default" w:ascii="Times New Roman" w:hAnsi="Times New Roman" w:cs="Times New Roman"/>
                <w:color w:val="auto"/>
                <w:sz w:val="24"/>
              </w:rPr>
            </w:pPr>
            <w:r>
              <w:rPr>
                <w:rFonts w:hint="default" w:ascii="Times New Roman" w:hAnsi="Times New Roman" w:cs="Times New Roman"/>
                <w:color w:val="auto"/>
                <w:sz w:val="24"/>
              </w:rPr>
              <w:t>化学需氧量</w:t>
            </w:r>
          </w:p>
        </w:tc>
        <w:tc>
          <w:tcPr>
            <w:tcW w:w="1033" w:type="dxa"/>
            <w:tcBorders>
              <w:top w:val="single" w:color="auto" w:sz="4" w:space="0"/>
              <w:left w:val="single" w:color="auto" w:sz="4" w:space="0"/>
              <w:bottom w:val="single" w:color="auto" w:sz="4" w:space="0"/>
              <w:right w:val="single" w:color="auto" w:sz="4" w:space="0"/>
            </w:tcBorders>
            <w:vAlign w:val="center"/>
          </w:tcPr>
          <w:p w14:paraId="5463505D">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氨氮</w:t>
            </w:r>
          </w:p>
        </w:tc>
        <w:tc>
          <w:tcPr>
            <w:tcW w:w="1631" w:type="dxa"/>
            <w:gridSpan w:val="4"/>
            <w:tcBorders>
              <w:top w:val="single" w:color="auto" w:sz="4" w:space="0"/>
              <w:left w:val="single" w:color="auto" w:sz="4" w:space="0"/>
              <w:bottom w:val="single" w:color="auto" w:sz="4" w:space="0"/>
              <w:right w:val="single" w:color="auto" w:sz="4" w:space="0"/>
            </w:tcBorders>
            <w:vAlign w:val="center"/>
          </w:tcPr>
          <w:p w14:paraId="4B887500">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二氧化硫</w:t>
            </w:r>
          </w:p>
        </w:tc>
        <w:tc>
          <w:tcPr>
            <w:tcW w:w="1237" w:type="dxa"/>
            <w:gridSpan w:val="5"/>
            <w:tcBorders>
              <w:top w:val="single" w:color="auto" w:sz="4" w:space="0"/>
              <w:left w:val="single" w:color="auto" w:sz="4" w:space="0"/>
              <w:bottom w:val="single" w:color="auto" w:sz="4" w:space="0"/>
              <w:right w:val="single" w:color="auto" w:sz="4" w:space="0"/>
            </w:tcBorders>
            <w:vAlign w:val="center"/>
          </w:tcPr>
          <w:p w14:paraId="0134BC59">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氮氧化物</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739685A6">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挥发性有机物</w:t>
            </w:r>
          </w:p>
        </w:tc>
      </w:tr>
      <w:tr w14:paraId="3944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5B03CA63">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核定量（吨/年）</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3D1E2092">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3CACDB82">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631" w:type="dxa"/>
            <w:gridSpan w:val="4"/>
            <w:tcBorders>
              <w:top w:val="single" w:color="auto" w:sz="4" w:space="0"/>
              <w:left w:val="single" w:color="auto" w:sz="4" w:space="0"/>
              <w:bottom w:val="single" w:color="auto" w:sz="4" w:space="0"/>
              <w:right w:val="single" w:color="auto" w:sz="4" w:space="0"/>
            </w:tcBorders>
            <w:vAlign w:val="center"/>
          </w:tcPr>
          <w:p w14:paraId="1040F3ED">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14:paraId="01C82A42">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04E469FB">
            <w:pPr>
              <w:adjustRightInd w:val="0"/>
              <w:snapToGrid w:val="0"/>
              <w:spacing w:before="31" w:beforeLines="10" w:after="31" w:afterLines="10" w:line="300" w:lineRule="atLeast"/>
              <w:rPr>
                <w:rFonts w:hint="default" w:ascii="Times New Roman" w:hAnsi="Times New Roman" w:cs="Times New Roman"/>
                <w:color w:val="auto"/>
                <w:sz w:val="24"/>
              </w:rPr>
            </w:pPr>
          </w:p>
        </w:tc>
      </w:tr>
      <w:tr w14:paraId="03FE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72D3B130">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计算方法及核定依据说明</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2132D7C4">
            <w:pPr>
              <w:adjustRightInd w:val="0"/>
              <w:snapToGrid w:val="0"/>
              <w:spacing w:before="31" w:beforeLines="10" w:after="31" w:afterLines="10" w:line="300" w:lineRule="atLeast"/>
              <w:rPr>
                <w:rFonts w:hint="default" w:ascii="Times New Roman" w:hAnsi="Times New Roman" w:cs="Times New Roman"/>
                <w:color w:val="auto"/>
                <w:sz w:val="24"/>
              </w:rPr>
            </w:pPr>
          </w:p>
        </w:tc>
      </w:tr>
      <w:tr w14:paraId="4644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29" w:type="dxa"/>
            <w:gridSpan w:val="17"/>
            <w:tcBorders>
              <w:top w:val="single" w:color="auto" w:sz="4" w:space="0"/>
              <w:left w:val="single" w:color="auto" w:sz="4" w:space="0"/>
              <w:bottom w:val="single" w:color="auto" w:sz="4" w:space="0"/>
              <w:right w:val="single" w:color="auto" w:sz="4" w:space="0"/>
            </w:tcBorders>
            <w:vAlign w:val="center"/>
          </w:tcPr>
          <w:p w14:paraId="7DEAA9DE">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b/>
                <w:bCs/>
                <w:color w:val="auto"/>
                <w:sz w:val="24"/>
              </w:rPr>
              <w:t>可交易排污权核算量</w:t>
            </w:r>
          </w:p>
        </w:tc>
      </w:tr>
      <w:tr w14:paraId="7B6B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01836341">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污染物种类</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7A736192">
            <w:pPr>
              <w:adjustRightInd w:val="0"/>
              <w:snapToGrid w:val="0"/>
              <w:spacing w:before="31" w:beforeLines="10" w:after="31" w:afterLines="10" w:line="300" w:lineRule="atLeast"/>
              <w:rPr>
                <w:rFonts w:hint="default" w:ascii="Times New Roman" w:hAnsi="Times New Roman" w:cs="Times New Roman"/>
                <w:color w:val="auto"/>
                <w:sz w:val="24"/>
              </w:rPr>
            </w:pPr>
            <w:r>
              <w:rPr>
                <w:rFonts w:hint="default" w:ascii="Times New Roman" w:hAnsi="Times New Roman" w:cs="Times New Roman"/>
                <w:color w:val="auto"/>
                <w:sz w:val="24"/>
              </w:rPr>
              <w:t>化学需氧量</w:t>
            </w:r>
          </w:p>
        </w:tc>
        <w:tc>
          <w:tcPr>
            <w:tcW w:w="1033" w:type="dxa"/>
            <w:tcBorders>
              <w:top w:val="single" w:color="auto" w:sz="4" w:space="0"/>
              <w:left w:val="single" w:color="auto" w:sz="4" w:space="0"/>
              <w:bottom w:val="single" w:color="auto" w:sz="4" w:space="0"/>
              <w:right w:val="single" w:color="auto" w:sz="4" w:space="0"/>
            </w:tcBorders>
            <w:vAlign w:val="center"/>
          </w:tcPr>
          <w:p w14:paraId="429F513D">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氨氮</w:t>
            </w:r>
          </w:p>
        </w:tc>
        <w:tc>
          <w:tcPr>
            <w:tcW w:w="1631" w:type="dxa"/>
            <w:gridSpan w:val="4"/>
            <w:tcBorders>
              <w:top w:val="single" w:color="auto" w:sz="4" w:space="0"/>
              <w:left w:val="single" w:color="auto" w:sz="4" w:space="0"/>
              <w:bottom w:val="single" w:color="auto" w:sz="4" w:space="0"/>
              <w:right w:val="single" w:color="auto" w:sz="4" w:space="0"/>
            </w:tcBorders>
            <w:vAlign w:val="center"/>
          </w:tcPr>
          <w:p w14:paraId="38716FE7">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二氧化硫</w:t>
            </w:r>
          </w:p>
        </w:tc>
        <w:tc>
          <w:tcPr>
            <w:tcW w:w="1237" w:type="dxa"/>
            <w:gridSpan w:val="5"/>
            <w:tcBorders>
              <w:top w:val="single" w:color="auto" w:sz="4" w:space="0"/>
              <w:left w:val="single" w:color="auto" w:sz="4" w:space="0"/>
              <w:bottom w:val="single" w:color="auto" w:sz="4" w:space="0"/>
              <w:right w:val="single" w:color="auto" w:sz="4" w:space="0"/>
            </w:tcBorders>
            <w:vAlign w:val="center"/>
          </w:tcPr>
          <w:p w14:paraId="4FCB84CC">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氮氧化物</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47B8D09">
            <w:pPr>
              <w:adjustRightInd w:val="0"/>
              <w:snapToGrid w:val="0"/>
              <w:spacing w:before="31" w:beforeLines="10" w:after="31" w:afterLines="10" w:line="300" w:lineRule="atLeast"/>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挥发性有机物</w:t>
            </w:r>
          </w:p>
        </w:tc>
      </w:tr>
      <w:tr w14:paraId="3DB3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20AA746C">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核算量（吨/年）</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0D94BD17">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0190F075">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631" w:type="dxa"/>
            <w:gridSpan w:val="4"/>
            <w:tcBorders>
              <w:top w:val="single" w:color="auto" w:sz="4" w:space="0"/>
              <w:left w:val="single" w:color="auto" w:sz="4" w:space="0"/>
              <w:bottom w:val="single" w:color="auto" w:sz="4" w:space="0"/>
              <w:right w:val="single" w:color="auto" w:sz="4" w:space="0"/>
            </w:tcBorders>
            <w:vAlign w:val="center"/>
          </w:tcPr>
          <w:p w14:paraId="2595DC71">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14:paraId="74328E7A">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7B3675D9">
            <w:pPr>
              <w:adjustRightInd w:val="0"/>
              <w:snapToGrid w:val="0"/>
              <w:spacing w:before="31" w:beforeLines="10" w:after="31" w:afterLines="10" w:line="300" w:lineRule="atLeast"/>
              <w:rPr>
                <w:rFonts w:hint="default" w:ascii="Times New Roman" w:hAnsi="Times New Roman" w:cs="Times New Roman"/>
                <w:color w:val="auto"/>
                <w:sz w:val="24"/>
              </w:rPr>
            </w:pPr>
          </w:p>
        </w:tc>
      </w:tr>
      <w:tr w14:paraId="3D6D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1A38AE15">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核算方法及核算依据说明</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770D99FB">
            <w:pPr>
              <w:adjustRightInd w:val="0"/>
              <w:snapToGrid w:val="0"/>
              <w:spacing w:before="31" w:beforeLines="10" w:after="31" w:afterLines="10" w:line="300" w:lineRule="atLeast"/>
              <w:rPr>
                <w:rFonts w:hint="default" w:ascii="Times New Roman" w:hAnsi="Times New Roman" w:cs="Times New Roman"/>
                <w:color w:val="auto"/>
                <w:sz w:val="24"/>
              </w:rPr>
            </w:pPr>
          </w:p>
        </w:tc>
      </w:tr>
      <w:tr w14:paraId="40CE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29" w:type="dxa"/>
            <w:gridSpan w:val="17"/>
            <w:tcBorders>
              <w:top w:val="single" w:color="auto" w:sz="4" w:space="0"/>
              <w:left w:val="single" w:color="auto" w:sz="4" w:space="0"/>
              <w:bottom w:val="single" w:color="auto" w:sz="4" w:space="0"/>
              <w:right w:val="single" w:color="auto" w:sz="4" w:space="0"/>
            </w:tcBorders>
            <w:vAlign w:val="center"/>
          </w:tcPr>
          <w:p w14:paraId="59390831">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b/>
                <w:bCs/>
                <w:color w:val="auto"/>
                <w:sz w:val="24"/>
              </w:rPr>
              <w:t>新增排污权核定量</w:t>
            </w:r>
          </w:p>
        </w:tc>
      </w:tr>
      <w:tr w14:paraId="6DC0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7EA7B99C">
            <w:pPr>
              <w:adjustRightInd w:val="0"/>
              <w:snapToGrid w:val="0"/>
              <w:spacing w:before="31" w:beforeLines="10" w:after="31" w:afterLines="10" w:line="300" w:lineRule="atLeast"/>
              <w:jc w:val="center"/>
              <w:rPr>
                <w:rFonts w:hint="default" w:ascii="Times New Roman" w:hAnsi="Times New Roman" w:cs="Times New Roman"/>
                <w:b/>
                <w:bCs/>
                <w:color w:val="auto"/>
                <w:sz w:val="24"/>
              </w:rPr>
            </w:pPr>
            <w:r>
              <w:rPr>
                <w:rFonts w:hint="default" w:ascii="Times New Roman" w:hAnsi="Times New Roman" w:cs="Times New Roman"/>
                <w:color w:val="auto"/>
                <w:sz w:val="24"/>
              </w:rPr>
              <w:t>污染物种类</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2A038EB4">
            <w:pPr>
              <w:adjustRightInd w:val="0"/>
              <w:snapToGrid w:val="0"/>
              <w:spacing w:before="31" w:beforeLines="10" w:after="31" w:afterLines="10" w:line="300" w:lineRule="atLeast"/>
              <w:ind w:left="2" w:leftChars="1"/>
              <w:jc w:val="center"/>
              <w:rPr>
                <w:rFonts w:hint="default" w:ascii="Times New Roman" w:hAnsi="Times New Roman" w:cs="Times New Roman"/>
                <w:color w:val="auto"/>
                <w:sz w:val="24"/>
              </w:rPr>
            </w:pPr>
            <w:r>
              <w:rPr>
                <w:rFonts w:hint="default" w:ascii="Times New Roman" w:hAnsi="Times New Roman" w:cs="Times New Roman"/>
                <w:color w:val="auto"/>
                <w:sz w:val="24"/>
              </w:rPr>
              <w:t>化学需氧量</w:t>
            </w:r>
          </w:p>
        </w:tc>
        <w:tc>
          <w:tcPr>
            <w:tcW w:w="1033" w:type="dxa"/>
            <w:tcBorders>
              <w:top w:val="single" w:color="auto" w:sz="4" w:space="0"/>
              <w:left w:val="single" w:color="auto" w:sz="4" w:space="0"/>
              <w:bottom w:val="single" w:color="auto" w:sz="4" w:space="0"/>
              <w:right w:val="single" w:color="auto" w:sz="4" w:space="0"/>
            </w:tcBorders>
            <w:vAlign w:val="center"/>
          </w:tcPr>
          <w:p w14:paraId="01CC86EA">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氨氮</w:t>
            </w:r>
          </w:p>
        </w:tc>
        <w:tc>
          <w:tcPr>
            <w:tcW w:w="1631" w:type="dxa"/>
            <w:gridSpan w:val="4"/>
            <w:tcBorders>
              <w:top w:val="single" w:color="auto" w:sz="4" w:space="0"/>
              <w:left w:val="single" w:color="auto" w:sz="4" w:space="0"/>
              <w:bottom w:val="single" w:color="auto" w:sz="4" w:space="0"/>
              <w:right w:val="single" w:color="auto" w:sz="4" w:space="0"/>
            </w:tcBorders>
            <w:vAlign w:val="center"/>
          </w:tcPr>
          <w:p w14:paraId="54F83A6D">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二氧化硫</w:t>
            </w:r>
          </w:p>
        </w:tc>
        <w:tc>
          <w:tcPr>
            <w:tcW w:w="1237" w:type="dxa"/>
            <w:gridSpan w:val="5"/>
            <w:tcBorders>
              <w:top w:val="single" w:color="auto" w:sz="4" w:space="0"/>
              <w:left w:val="single" w:color="auto" w:sz="4" w:space="0"/>
              <w:bottom w:val="single" w:color="auto" w:sz="4" w:space="0"/>
              <w:right w:val="single" w:color="auto" w:sz="4" w:space="0"/>
            </w:tcBorders>
            <w:vAlign w:val="center"/>
          </w:tcPr>
          <w:p w14:paraId="3FE3122C">
            <w:pPr>
              <w:adjustRightInd w:val="0"/>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氮氧化物</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55FD8BD5">
            <w:pPr>
              <w:adjustRightInd w:val="0"/>
              <w:snapToGrid w:val="0"/>
              <w:spacing w:before="31" w:beforeLines="10" w:after="31" w:afterLines="10" w:line="300" w:lineRule="atLeast"/>
              <w:rPr>
                <w:rFonts w:hint="default" w:ascii="Times New Roman" w:hAnsi="Times New Roman" w:cs="Times New Roman"/>
                <w:color w:val="auto"/>
                <w:sz w:val="24"/>
              </w:rPr>
            </w:pPr>
            <w:r>
              <w:rPr>
                <w:rFonts w:hint="default" w:ascii="Times New Roman" w:hAnsi="Times New Roman" w:cs="Times New Roman"/>
                <w:color w:val="auto"/>
                <w:sz w:val="24"/>
                <w:lang w:eastAsia="zh-CN"/>
              </w:rPr>
              <w:t>挥发性有机物</w:t>
            </w:r>
          </w:p>
        </w:tc>
      </w:tr>
      <w:tr w14:paraId="2550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1C9D3577">
            <w:pPr>
              <w:adjustRightInd w:val="0"/>
              <w:snapToGrid w:val="0"/>
              <w:spacing w:before="31" w:beforeLines="10" w:after="31" w:afterLines="10" w:line="300" w:lineRule="atLeast"/>
              <w:jc w:val="center"/>
              <w:rPr>
                <w:rFonts w:hint="default" w:ascii="Times New Roman" w:hAnsi="Times New Roman" w:cs="Times New Roman"/>
                <w:b/>
                <w:bCs/>
                <w:color w:val="auto"/>
                <w:sz w:val="24"/>
              </w:rPr>
            </w:pPr>
            <w:r>
              <w:rPr>
                <w:rFonts w:hint="default" w:ascii="Times New Roman" w:hAnsi="Times New Roman" w:cs="Times New Roman"/>
                <w:color w:val="auto"/>
                <w:sz w:val="24"/>
              </w:rPr>
              <w:t>核定量（吨/年）</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6C3C8095">
            <w:pPr>
              <w:adjustRightInd w:val="0"/>
              <w:snapToGrid w:val="0"/>
              <w:spacing w:before="31" w:beforeLines="10" w:after="31" w:afterLines="10" w:line="300" w:lineRule="atLeast"/>
              <w:ind w:left="2" w:leftChars="1"/>
              <w:jc w:val="center"/>
              <w:rPr>
                <w:rFonts w:hint="default" w:ascii="Times New Roman" w:hAnsi="Times New Roman" w:cs="Times New Roman"/>
                <w:color w:val="auto"/>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3AA54CA6">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631" w:type="dxa"/>
            <w:gridSpan w:val="4"/>
            <w:tcBorders>
              <w:top w:val="single" w:color="auto" w:sz="4" w:space="0"/>
              <w:left w:val="single" w:color="auto" w:sz="4" w:space="0"/>
              <w:bottom w:val="single" w:color="auto" w:sz="4" w:space="0"/>
              <w:right w:val="single" w:color="auto" w:sz="4" w:space="0"/>
            </w:tcBorders>
            <w:vAlign w:val="center"/>
          </w:tcPr>
          <w:p w14:paraId="6500F9FB">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14:paraId="2F3A5590">
            <w:pPr>
              <w:adjustRightInd w:val="0"/>
              <w:snapToGrid w:val="0"/>
              <w:spacing w:before="31" w:beforeLines="10" w:after="31" w:afterLines="10" w:line="300" w:lineRule="atLeast"/>
              <w:rPr>
                <w:rFonts w:hint="default" w:ascii="Times New Roman" w:hAnsi="Times New Roman" w:cs="Times New Roman"/>
                <w:color w:val="auto"/>
                <w:sz w:val="24"/>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40AA382B">
            <w:pPr>
              <w:adjustRightInd w:val="0"/>
              <w:snapToGrid w:val="0"/>
              <w:spacing w:before="31" w:beforeLines="10" w:after="31" w:afterLines="10" w:line="300" w:lineRule="atLeast"/>
              <w:rPr>
                <w:rFonts w:hint="default" w:ascii="Times New Roman" w:hAnsi="Times New Roman" w:cs="Times New Roman"/>
                <w:color w:val="auto"/>
                <w:sz w:val="24"/>
              </w:rPr>
            </w:pPr>
          </w:p>
        </w:tc>
      </w:tr>
      <w:tr w14:paraId="20A9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2334" w:type="dxa"/>
            <w:gridSpan w:val="2"/>
            <w:tcBorders>
              <w:top w:val="single" w:color="auto" w:sz="4" w:space="0"/>
              <w:left w:val="single" w:color="auto" w:sz="4" w:space="0"/>
              <w:bottom w:val="single" w:color="auto" w:sz="4" w:space="0"/>
              <w:right w:val="single" w:color="auto" w:sz="4" w:space="0"/>
            </w:tcBorders>
            <w:vAlign w:val="center"/>
          </w:tcPr>
          <w:p w14:paraId="070BDB07">
            <w:pPr>
              <w:adjustRightInd w:val="0"/>
              <w:snapToGrid w:val="0"/>
              <w:spacing w:before="31" w:beforeLines="10" w:after="31" w:afterLines="10" w:line="300" w:lineRule="atLeast"/>
              <w:jc w:val="center"/>
              <w:rPr>
                <w:rFonts w:hint="default" w:ascii="Times New Roman" w:hAnsi="Times New Roman" w:cs="Times New Roman"/>
                <w:b/>
                <w:bCs/>
                <w:color w:val="auto"/>
                <w:sz w:val="24"/>
              </w:rPr>
            </w:pPr>
            <w:r>
              <w:rPr>
                <w:rFonts w:hint="default" w:ascii="Times New Roman" w:hAnsi="Times New Roman" w:cs="Times New Roman"/>
                <w:color w:val="auto"/>
                <w:sz w:val="24"/>
              </w:rPr>
              <w:t>核算方法及核定依据说明</w:t>
            </w:r>
          </w:p>
        </w:tc>
        <w:tc>
          <w:tcPr>
            <w:tcW w:w="7295" w:type="dxa"/>
            <w:gridSpan w:val="15"/>
            <w:tcBorders>
              <w:top w:val="single" w:color="auto" w:sz="4" w:space="0"/>
              <w:left w:val="single" w:color="auto" w:sz="4" w:space="0"/>
              <w:bottom w:val="single" w:color="auto" w:sz="4" w:space="0"/>
              <w:right w:val="single" w:color="auto" w:sz="4" w:space="0"/>
            </w:tcBorders>
            <w:vAlign w:val="center"/>
          </w:tcPr>
          <w:p w14:paraId="0BEA6CFE">
            <w:pPr>
              <w:adjustRightInd w:val="0"/>
              <w:snapToGrid w:val="0"/>
              <w:spacing w:before="31" w:beforeLines="10" w:after="31" w:afterLines="10" w:line="300" w:lineRule="atLeast"/>
              <w:rPr>
                <w:rFonts w:hint="default" w:ascii="Times New Roman" w:hAnsi="Times New Roman" w:cs="Times New Roman"/>
                <w:color w:val="auto"/>
                <w:sz w:val="24"/>
              </w:rPr>
            </w:pPr>
          </w:p>
        </w:tc>
      </w:tr>
      <w:tr w14:paraId="488E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2349" w:type="dxa"/>
            <w:gridSpan w:val="3"/>
            <w:tcBorders>
              <w:top w:val="single" w:color="auto" w:sz="4" w:space="0"/>
              <w:left w:val="single" w:color="auto" w:sz="4" w:space="0"/>
              <w:bottom w:val="single" w:color="auto" w:sz="4" w:space="0"/>
              <w:right w:val="single" w:color="auto" w:sz="4" w:space="0"/>
            </w:tcBorders>
            <w:vAlign w:val="center"/>
          </w:tcPr>
          <w:p w14:paraId="0DC70534">
            <w:pPr>
              <w:snapToGrid w:val="0"/>
              <w:spacing w:before="31" w:beforeLines="10" w:after="31" w:afterLines="10" w:line="300" w:lineRule="atLeas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县（区）态环境部门核定意见</w:t>
            </w:r>
          </w:p>
        </w:tc>
        <w:tc>
          <w:tcPr>
            <w:tcW w:w="7280" w:type="dxa"/>
            <w:gridSpan w:val="14"/>
            <w:tcBorders>
              <w:top w:val="single" w:color="auto" w:sz="4" w:space="0"/>
              <w:left w:val="single" w:color="auto" w:sz="4" w:space="0"/>
              <w:bottom w:val="single" w:color="auto" w:sz="4" w:space="0"/>
              <w:right w:val="single" w:color="auto" w:sz="4" w:space="0"/>
            </w:tcBorders>
            <w:vAlign w:val="center"/>
          </w:tcPr>
          <w:p w14:paraId="307607AA">
            <w:pPr>
              <w:snapToGrid w:val="0"/>
              <w:spacing w:before="31" w:beforeLines="10" w:after="31" w:afterLines="10" w:line="300" w:lineRule="atLeast"/>
              <w:rPr>
                <w:rFonts w:hint="default" w:ascii="Times New Roman" w:hAnsi="Times New Roman" w:cs="Times New Roman"/>
                <w:color w:val="auto"/>
                <w:sz w:val="24"/>
              </w:rPr>
            </w:pPr>
          </w:p>
          <w:p w14:paraId="35418245">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03B66A1E">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单位（盖章）：</w:t>
            </w:r>
          </w:p>
          <w:p w14:paraId="540EF2D7">
            <w:pPr>
              <w:snapToGrid w:val="0"/>
              <w:spacing w:before="31" w:beforeLines="10" w:after="93" w:afterLines="30" w:line="300" w:lineRule="atLeast"/>
              <w:jc w:val="center"/>
              <w:rPr>
                <w:rFonts w:hint="default" w:ascii="Times New Roman" w:hAnsi="Times New Roman" w:cs="Times New Roman"/>
                <w:b/>
                <w:bCs/>
                <w:color w:val="auto"/>
                <w:sz w:val="24"/>
              </w:rPr>
            </w:pPr>
            <w:r>
              <w:rPr>
                <w:rFonts w:hint="default" w:ascii="Times New Roman" w:hAnsi="Times New Roman" w:cs="Times New Roman"/>
                <w:color w:val="auto"/>
                <w:sz w:val="24"/>
              </w:rPr>
              <w:t xml:space="preserve"> 审批人：                                     年   月   日</w:t>
            </w:r>
          </w:p>
        </w:tc>
      </w:tr>
      <w:tr w14:paraId="6700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9" w:type="dxa"/>
            <w:gridSpan w:val="3"/>
            <w:tcBorders>
              <w:top w:val="single" w:color="auto" w:sz="4" w:space="0"/>
              <w:left w:val="single" w:color="auto" w:sz="4" w:space="0"/>
              <w:bottom w:val="single" w:color="auto" w:sz="4" w:space="0"/>
              <w:right w:val="single" w:color="auto" w:sz="4" w:space="0"/>
            </w:tcBorders>
            <w:vAlign w:val="center"/>
          </w:tcPr>
          <w:p w14:paraId="6D9F6DD2">
            <w:pPr>
              <w:snapToGrid w:val="0"/>
              <w:spacing w:before="31" w:beforeLines="10" w:after="31" w:afterLines="10" w:line="300" w:lineRule="atLeas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地级市生态环境部门核定意见</w:t>
            </w:r>
          </w:p>
        </w:tc>
        <w:tc>
          <w:tcPr>
            <w:tcW w:w="7280" w:type="dxa"/>
            <w:gridSpan w:val="14"/>
            <w:tcBorders>
              <w:top w:val="single" w:color="auto" w:sz="4" w:space="0"/>
              <w:left w:val="single" w:color="auto" w:sz="4" w:space="0"/>
              <w:bottom w:val="single" w:color="auto" w:sz="4" w:space="0"/>
              <w:right w:val="single" w:color="auto" w:sz="4" w:space="0"/>
            </w:tcBorders>
            <w:vAlign w:val="center"/>
          </w:tcPr>
          <w:p w14:paraId="2D6542C3">
            <w:pPr>
              <w:snapToGrid w:val="0"/>
              <w:spacing w:before="93" w:beforeLines="30" w:after="31" w:afterLines="10" w:line="300" w:lineRule="atLeast"/>
              <w:rPr>
                <w:rFonts w:hint="default" w:ascii="Times New Roman" w:hAnsi="Times New Roman" w:cs="Times New Roman"/>
                <w:color w:val="auto"/>
                <w:sz w:val="24"/>
              </w:rPr>
            </w:pPr>
          </w:p>
          <w:p w14:paraId="457D716B">
            <w:pPr>
              <w:snapToGrid w:val="0"/>
              <w:spacing w:before="31" w:beforeLines="10" w:after="31" w:afterLines="10" w:line="300" w:lineRule="atLeast"/>
              <w:rPr>
                <w:rFonts w:hint="default" w:ascii="Times New Roman" w:hAnsi="Times New Roman" w:cs="Times New Roman"/>
                <w:color w:val="auto"/>
                <w:sz w:val="24"/>
              </w:rPr>
            </w:pPr>
          </w:p>
          <w:p w14:paraId="7ABA65C4">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7DC938C1">
            <w:pPr>
              <w:snapToGrid w:val="0"/>
              <w:spacing w:before="31" w:beforeLines="10" w:after="31" w:afterLines="10" w:line="30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单位（盖章）：</w:t>
            </w:r>
          </w:p>
          <w:p w14:paraId="2A1994F6">
            <w:pPr>
              <w:snapToGrid w:val="0"/>
              <w:spacing w:before="31" w:beforeLines="10" w:after="31" w:afterLines="10" w:line="300" w:lineRule="atLeast"/>
              <w:ind w:right="840" w:firstLine="240" w:firstLineChars="100"/>
              <w:rPr>
                <w:rFonts w:hint="default" w:ascii="Times New Roman" w:hAnsi="Times New Roman" w:cs="Times New Roman"/>
                <w:color w:val="auto"/>
                <w:sz w:val="24"/>
              </w:rPr>
            </w:pPr>
            <w:r>
              <w:rPr>
                <w:rFonts w:hint="default" w:ascii="Times New Roman" w:hAnsi="Times New Roman" w:cs="Times New Roman"/>
                <w:color w:val="auto"/>
                <w:sz w:val="24"/>
              </w:rPr>
              <w:t xml:space="preserve">审批人：                              年   月   日      </w:t>
            </w:r>
          </w:p>
        </w:tc>
      </w:tr>
    </w:tbl>
    <w:p w14:paraId="1521B001">
      <w:pPr>
        <w:rPr>
          <w:rFonts w:hint="default" w:ascii="Times New Roman" w:hAnsi="Times New Roman" w:cs="Times New Roman"/>
          <w:color w:val="auto"/>
        </w:rPr>
      </w:pPr>
    </w:p>
    <w:sectPr>
      <w:footerReference r:id="rId3" w:type="default"/>
      <w:footerReference r:id="rId4" w:type="even"/>
      <w:pgSz w:w="11906" w:h="16838"/>
      <w:pgMar w:top="2041" w:right="1474" w:bottom="1701"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A00002BF" w:usb1="2ACF7CFB" w:usb2="00000016" w:usb3="00000000" w:csb0="2004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EBD0">
    <w:pPr>
      <w:pStyle w:val="3"/>
    </w:pPr>
    <w:r>
      <mc:AlternateContent>
        <mc:Choice Requires="wps">
          <w:drawing>
            <wp:anchor distT="0" distB="0" distL="114300" distR="114300" simplePos="0" relativeHeight="251659264" behindDoc="0" locked="0" layoutInCell="1" allowOverlap="1">
              <wp:simplePos x="0" y="0"/>
              <wp:positionH relativeFrom="margin">
                <wp:posOffset>4980940</wp:posOffset>
              </wp:positionH>
              <wp:positionV relativeFrom="paragraph">
                <wp:posOffset>0</wp:posOffset>
              </wp:positionV>
              <wp:extent cx="5340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67FAAE88">
                          <w:pPr>
                            <w:pStyle w:val="3"/>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13 -</w:t>
                          </w:r>
                          <w:r>
                            <w:rPr>
                              <w:rFonts w:ascii="宋体" w:hAnsi="宋体"/>
                              <w:sz w:val="28"/>
                            </w:rPr>
                            <w:fldChar w:fldCharType="end"/>
                          </w:r>
                          <w:r>
                            <w:rPr>
                              <w:rFonts w:hint="eastAsia" w:ascii="宋体" w:hAnsi="宋体"/>
                              <w:sz w:val="28"/>
                            </w:rPr>
                            <w:t xml:space="preserve"> </w:t>
                          </w:r>
                          <w:r>
                            <w:rPr>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92.2pt;margin-top:0pt;height:18.15pt;width:42.05pt;mso-position-horizontal-relative:margin;mso-wrap-style:none;z-index:251659264;mso-width-relative:page;mso-height-relative:page;" filled="f" stroked="f" coordsize="21600,21600" o:gfxdata="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WeY/XTAAAABwEAAA8AAAAAAAAAAQAgAAAAIgAAAGRycy9k&#10;b3ducmV2LnhtbFBLAQIUABQAAAAIAIdO4kA1VATlBwIAAAIEAAAOAAAAAAAAAAEAIAAAACIBAABk&#10;cnMvZTJvRG9jLnhtbFBLBQYAAAAABgAGAFkBAACbBQAAAAA=&#10;">
              <v:fill on="f" focussize="0,0"/>
              <v:stroke on="f"/>
              <v:imagedata o:title=""/>
              <o:lock v:ext="edit" aspectratio="f"/>
              <v:textbox inset="0mm,0mm,0mm,0mm" style="mso-fit-shape-to-text:t;">
                <w:txbxContent>
                  <w:p w14:paraId="67FAAE88">
                    <w:pPr>
                      <w:pStyle w:val="3"/>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13 -</w:t>
                    </w:r>
                    <w:r>
                      <w:rPr>
                        <w:rFonts w:ascii="宋体" w:hAnsi="宋体"/>
                        <w:sz w:val="28"/>
                      </w:rPr>
                      <w:fldChar w:fldCharType="end"/>
                    </w:r>
                    <w:r>
                      <w:rPr>
                        <w:rFonts w:hint="eastAsia" w:ascii="宋体" w:hAnsi="宋体"/>
                        <w:sz w:val="28"/>
                      </w:rPr>
                      <w:t xml:space="preserve"> </w:t>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107F">
    <w:pPr>
      <w:pStyle w:val="3"/>
      <w:rPr>
        <w:rFonts w:ascii="宋体" w:hAnsi="宋体"/>
        <w:sz w:val="28"/>
      </w:rPr>
    </w:pPr>
    <w:r>
      <w:rPr>
        <w:rFonts w:ascii="宋体" w:hAnsi="宋体"/>
        <w:sz w:val="28"/>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99060</wp:posOffset>
              </wp:positionV>
              <wp:extent cx="445135" cy="230505"/>
              <wp:effectExtent l="0" t="3810" r="2540"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7594FAB6">
                          <w:pPr>
                            <w:pStyle w:val="3"/>
                            <w:ind w:firstLine="140" w:firstLineChars="50"/>
                            <w:jc w:val="both"/>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18 -</w:t>
                          </w:r>
                          <w:r>
                            <w:rPr>
                              <w:rFonts w:ascii="宋体" w:hAnsi="宋体"/>
                              <w:sz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5pt;margin-top:7.8pt;height:18.15pt;width:35.05pt;mso-position-horizontal-relative:margin;mso-wrap-style:none;z-index:251660288;mso-width-relative:page;mso-height-relative:page;" filled="f" stroked="f" coordsize="21600,21600" o:gfxdata="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&#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10I1AAAAAcBAAAPAAAAAAAAAAEAIAAAACIAAABk&#10;cnMvZG93bnJldi54bWxQSwECFAAUAAAACACHTuJAVv7r7goCAAACBAAADgAAAAAAAAABACAAAAAj&#10;AQAAZHJzL2Uyb0RvYy54bWxQSwUGAAAAAAYABgBZAQAAnwUAAAAA&#10;">
              <v:fill on="f" focussize="0,0"/>
              <v:stroke on="f"/>
              <v:imagedata o:title=""/>
              <o:lock v:ext="edit" aspectratio="f"/>
              <v:textbox inset="0mm,0mm,0mm,0mm" style="mso-fit-shape-to-text:t;">
                <w:txbxContent>
                  <w:p w14:paraId="7594FAB6">
                    <w:pPr>
                      <w:pStyle w:val="3"/>
                      <w:ind w:firstLine="140" w:firstLineChars="50"/>
                      <w:jc w:val="both"/>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18 -</w:t>
                    </w:r>
                    <w:r>
                      <w:rPr>
                        <w:rFonts w:ascii="宋体" w:hAnsi="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NDM2NWM0ZjJjMWU5Y2VmNTI0NjU1MjYzNTIzY2UifQ=="/>
  </w:docVars>
  <w:rsids>
    <w:rsidRoot w:val="000A2AEA"/>
    <w:rsid w:val="00005D85"/>
    <w:rsid w:val="00006122"/>
    <w:rsid w:val="000433CB"/>
    <w:rsid w:val="000569FB"/>
    <w:rsid w:val="00070560"/>
    <w:rsid w:val="000A2AEA"/>
    <w:rsid w:val="000B1CEA"/>
    <w:rsid w:val="000B31B8"/>
    <w:rsid w:val="000E4CC5"/>
    <w:rsid w:val="0011721F"/>
    <w:rsid w:val="00150BCA"/>
    <w:rsid w:val="00163456"/>
    <w:rsid w:val="00167E92"/>
    <w:rsid w:val="00174252"/>
    <w:rsid w:val="00177A84"/>
    <w:rsid w:val="001A3418"/>
    <w:rsid w:val="001B21BD"/>
    <w:rsid w:val="001C1A1C"/>
    <w:rsid w:val="001C3B16"/>
    <w:rsid w:val="002003B2"/>
    <w:rsid w:val="00202977"/>
    <w:rsid w:val="002731D1"/>
    <w:rsid w:val="00273327"/>
    <w:rsid w:val="0028713F"/>
    <w:rsid w:val="0029174E"/>
    <w:rsid w:val="00291A1D"/>
    <w:rsid w:val="00296721"/>
    <w:rsid w:val="002A339D"/>
    <w:rsid w:val="002E0829"/>
    <w:rsid w:val="002E1418"/>
    <w:rsid w:val="00301D30"/>
    <w:rsid w:val="00325599"/>
    <w:rsid w:val="00330E17"/>
    <w:rsid w:val="00370F0E"/>
    <w:rsid w:val="00380DF1"/>
    <w:rsid w:val="0038387A"/>
    <w:rsid w:val="00385978"/>
    <w:rsid w:val="003B1F73"/>
    <w:rsid w:val="003D7CFD"/>
    <w:rsid w:val="003E0336"/>
    <w:rsid w:val="003E70C4"/>
    <w:rsid w:val="003E774E"/>
    <w:rsid w:val="00452285"/>
    <w:rsid w:val="00461C2E"/>
    <w:rsid w:val="00471950"/>
    <w:rsid w:val="00476669"/>
    <w:rsid w:val="004C63A9"/>
    <w:rsid w:val="00515E0E"/>
    <w:rsid w:val="00525679"/>
    <w:rsid w:val="005331B9"/>
    <w:rsid w:val="00627611"/>
    <w:rsid w:val="006620EC"/>
    <w:rsid w:val="00686919"/>
    <w:rsid w:val="006B22F3"/>
    <w:rsid w:val="006B779A"/>
    <w:rsid w:val="006B7EC7"/>
    <w:rsid w:val="006D25AA"/>
    <w:rsid w:val="006D45B0"/>
    <w:rsid w:val="006E092E"/>
    <w:rsid w:val="00706867"/>
    <w:rsid w:val="00715FBF"/>
    <w:rsid w:val="007317A7"/>
    <w:rsid w:val="00737600"/>
    <w:rsid w:val="00782609"/>
    <w:rsid w:val="00786CEC"/>
    <w:rsid w:val="007A2438"/>
    <w:rsid w:val="007C2754"/>
    <w:rsid w:val="007C6317"/>
    <w:rsid w:val="00800BEC"/>
    <w:rsid w:val="008702D5"/>
    <w:rsid w:val="008A1AEF"/>
    <w:rsid w:val="008A563B"/>
    <w:rsid w:val="008B6DD3"/>
    <w:rsid w:val="008C10D5"/>
    <w:rsid w:val="008E1C43"/>
    <w:rsid w:val="009050F8"/>
    <w:rsid w:val="009345CF"/>
    <w:rsid w:val="009438DB"/>
    <w:rsid w:val="00943FF1"/>
    <w:rsid w:val="00975199"/>
    <w:rsid w:val="0098254A"/>
    <w:rsid w:val="009858D6"/>
    <w:rsid w:val="00986196"/>
    <w:rsid w:val="009A253A"/>
    <w:rsid w:val="009A6909"/>
    <w:rsid w:val="009C5957"/>
    <w:rsid w:val="009E5BD2"/>
    <w:rsid w:val="00A03000"/>
    <w:rsid w:val="00A06F25"/>
    <w:rsid w:val="00A16870"/>
    <w:rsid w:val="00A57327"/>
    <w:rsid w:val="00A70492"/>
    <w:rsid w:val="00AA235C"/>
    <w:rsid w:val="00AC125A"/>
    <w:rsid w:val="00AD007E"/>
    <w:rsid w:val="00AD34A6"/>
    <w:rsid w:val="00AE3F7A"/>
    <w:rsid w:val="00AF320F"/>
    <w:rsid w:val="00AF54E2"/>
    <w:rsid w:val="00B06040"/>
    <w:rsid w:val="00B13B8B"/>
    <w:rsid w:val="00B42389"/>
    <w:rsid w:val="00BC0B19"/>
    <w:rsid w:val="00BE6DB5"/>
    <w:rsid w:val="00C34640"/>
    <w:rsid w:val="00C4297C"/>
    <w:rsid w:val="00C613E3"/>
    <w:rsid w:val="00C82689"/>
    <w:rsid w:val="00C9071B"/>
    <w:rsid w:val="00CA0B0B"/>
    <w:rsid w:val="00CB48AD"/>
    <w:rsid w:val="00CC27CD"/>
    <w:rsid w:val="00CE44DD"/>
    <w:rsid w:val="00D02FEE"/>
    <w:rsid w:val="00D10238"/>
    <w:rsid w:val="00D155E4"/>
    <w:rsid w:val="00D75551"/>
    <w:rsid w:val="00D826B3"/>
    <w:rsid w:val="00D8709A"/>
    <w:rsid w:val="00D95D00"/>
    <w:rsid w:val="00DA1E1A"/>
    <w:rsid w:val="00DC6240"/>
    <w:rsid w:val="00DE0245"/>
    <w:rsid w:val="00E1141E"/>
    <w:rsid w:val="00E94EB5"/>
    <w:rsid w:val="00EB03A9"/>
    <w:rsid w:val="00EB1B16"/>
    <w:rsid w:val="00EE28CA"/>
    <w:rsid w:val="00F42D27"/>
    <w:rsid w:val="00F646C6"/>
    <w:rsid w:val="02063539"/>
    <w:rsid w:val="02FC0F14"/>
    <w:rsid w:val="04B00C4F"/>
    <w:rsid w:val="056C24BD"/>
    <w:rsid w:val="07D05ED2"/>
    <w:rsid w:val="100A2B0E"/>
    <w:rsid w:val="104E7875"/>
    <w:rsid w:val="126020B8"/>
    <w:rsid w:val="14F077FF"/>
    <w:rsid w:val="16BD39C5"/>
    <w:rsid w:val="1992722E"/>
    <w:rsid w:val="20706FBE"/>
    <w:rsid w:val="27FC141D"/>
    <w:rsid w:val="2AEE7C41"/>
    <w:rsid w:val="31B5355F"/>
    <w:rsid w:val="31F00F3B"/>
    <w:rsid w:val="34CD4604"/>
    <w:rsid w:val="35CF2BDE"/>
    <w:rsid w:val="3ABC5924"/>
    <w:rsid w:val="3B410B1F"/>
    <w:rsid w:val="3D8B7F87"/>
    <w:rsid w:val="3EA4535C"/>
    <w:rsid w:val="41385B55"/>
    <w:rsid w:val="4216472C"/>
    <w:rsid w:val="426B09A7"/>
    <w:rsid w:val="44125E37"/>
    <w:rsid w:val="486A5E58"/>
    <w:rsid w:val="4A2E10F0"/>
    <w:rsid w:val="4B53188A"/>
    <w:rsid w:val="4C96179F"/>
    <w:rsid w:val="4E9730EB"/>
    <w:rsid w:val="52D12C63"/>
    <w:rsid w:val="5796326A"/>
    <w:rsid w:val="57C03DD3"/>
    <w:rsid w:val="584F1CC3"/>
    <w:rsid w:val="5A277F23"/>
    <w:rsid w:val="5CB634CA"/>
    <w:rsid w:val="5F9754EF"/>
    <w:rsid w:val="61356691"/>
    <w:rsid w:val="65E41DA8"/>
    <w:rsid w:val="69C64576"/>
    <w:rsid w:val="6A176365"/>
    <w:rsid w:val="6C8E5AAF"/>
    <w:rsid w:val="6D70618A"/>
    <w:rsid w:val="6F3911E0"/>
    <w:rsid w:val="6F3B534E"/>
    <w:rsid w:val="6FDFD0C7"/>
    <w:rsid w:val="71433EA5"/>
    <w:rsid w:val="73F86752"/>
    <w:rsid w:val="763669BA"/>
    <w:rsid w:val="76AE8A42"/>
    <w:rsid w:val="76E84B8A"/>
    <w:rsid w:val="7AF720E8"/>
    <w:rsid w:val="7BAF949A"/>
    <w:rsid w:val="7BFEE5D0"/>
    <w:rsid w:val="7E151528"/>
    <w:rsid w:val="7F204553"/>
    <w:rsid w:val="7F2B0A86"/>
    <w:rsid w:val="7FDF02AD"/>
    <w:rsid w:val="9DE5017E"/>
    <w:rsid w:val="DDFDC421"/>
    <w:rsid w:val="DF9BA1F8"/>
    <w:rsid w:val="F2F4EBDE"/>
    <w:rsid w:val="F2FF3BFF"/>
    <w:rsid w:val="FBDFE522"/>
    <w:rsid w:val="FD6E98DB"/>
    <w:rsid w:val="FF6C9AC2"/>
    <w:rsid w:val="FF9A099A"/>
    <w:rsid w:val="FFF9A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6"/>
    <w:qFormat/>
    <w:uiPriority w:val="0"/>
    <w:pPr>
      <w:tabs>
        <w:tab w:val="center" w:pos="4153"/>
        <w:tab w:val="right" w:pos="8306"/>
      </w:tabs>
      <w:snapToGrid w:val="0"/>
      <w:jc w:val="left"/>
    </w:pPr>
    <w:rPr>
      <w:sz w:val="18"/>
      <w:szCs w:val="22"/>
    </w:rPr>
  </w:style>
  <w:style w:type="character" w:customStyle="1" w:styleId="6">
    <w:name w:val="页脚 字符"/>
    <w:link w:val="3"/>
    <w:qFormat/>
    <w:uiPriority w:val="0"/>
    <w:rPr>
      <w:rFonts w:ascii="Times New Roman" w:hAnsi="Times New Roman" w:eastAsia="宋体" w:cs="Times New Roman"/>
      <w:sz w:val="18"/>
    </w:rPr>
  </w:style>
  <w:style w:type="character" w:customStyle="1" w:styleId="7">
    <w:name w:val="页脚 字符1"/>
    <w:basedOn w:val="5"/>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rPr>
      <w:rFonts w:ascii="Calibri" w:hAnsi="Calibri" w:cs="Calibri"/>
      <w:szCs w:val="21"/>
    </w:rPr>
  </w:style>
  <w:style w:type="character" w:customStyle="1" w:styleId="9">
    <w:name w:val="批注框文本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4154</Words>
  <Characters>4216</Characters>
  <Lines>32</Lines>
  <Paragraphs>9</Paragraphs>
  <TotalTime>46</TotalTime>
  <ScaleCrop>false</ScaleCrop>
  <LinksUpToDate>false</LinksUpToDate>
  <CharactersWithSpaces>4437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2024-03-05T06:34:00Z</dcterms:created>
  <dc:creator>纳静</dc:creator>
  <cp:lastModifiedBy>NL</cp:lastModifiedBy>
  <cp:lastPrinted>2024-10-29T00:53:00Z</cp:lastPrinted>
  <dcterms:modified xsi:type="dcterms:W3CDTF">2025-09-28T10:33:54Z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31AC3E6061184C02AE384B7B5F2C49D2_12</vt:lpwstr>
  </property>
</Properties>
</file>