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rPr>
      </w:pPr>
      <w:bookmarkStart w:id="0" w:name="_GoBack"/>
      <w:r>
        <w:rPr>
          <w:rFonts w:hint="default" w:ascii="Times New Roman" w:hAnsi="Times New Roman" w:eastAsia="方正小标宋简体" w:cs="Times New Roman"/>
          <w:i w:val="0"/>
          <w:iCs w:val="0"/>
          <w:caps w:val="0"/>
          <w:color w:val="000000"/>
          <w:spacing w:val="0"/>
          <w:sz w:val="44"/>
          <w:szCs w:val="44"/>
        </w:rPr>
        <w:t>关于《</w:t>
      </w:r>
      <w:r>
        <w:rPr>
          <w:rFonts w:hint="default" w:ascii="Times New Roman" w:hAnsi="Times New Roman" w:eastAsia="方正小标宋简体" w:cs="Times New Roman"/>
          <w:i w:val="0"/>
          <w:iCs w:val="0"/>
          <w:caps w:val="0"/>
          <w:color w:val="000000"/>
          <w:spacing w:val="0"/>
          <w:sz w:val="44"/>
          <w:szCs w:val="44"/>
        </w:rPr>
        <w:t>自治区一般工业固体废物贮存处置场污染防控工作指南（征求意见稿）》</w:t>
      </w:r>
      <w:r>
        <w:rPr>
          <w:rFonts w:hint="default" w:ascii="Times New Roman" w:hAnsi="Times New Roman" w:eastAsia="方正小标宋简体" w:cs="Times New Roman"/>
          <w:i w:val="0"/>
          <w:iCs w:val="0"/>
          <w:caps w:val="0"/>
          <w:color w:val="000000"/>
          <w:spacing w:val="0"/>
          <w:sz w:val="44"/>
          <w:szCs w:val="44"/>
        </w:rPr>
        <w:fldChar w:fldCharType="begin"/>
      </w:r>
      <w:r>
        <w:rPr>
          <w:rFonts w:hint="default" w:ascii="Times New Roman" w:hAnsi="Times New Roman" w:eastAsia="方正小标宋简体" w:cs="Times New Roman"/>
          <w:i w:val="0"/>
          <w:iCs w:val="0"/>
          <w:caps w:val="0"/>
          <w:color w:val="000000"/>
          <w:spacing w:val="0"/>
          <w:sz w:val="44"/>
          <w:szCs w:val="44"/>
        </w:rPr>
        <w:instrText xml:space="preserve"> HYPERLINK "https://sthjt.nx.gov.cn/yqhy/dczj/202504/P020250626381670060144.doc" \o "网站公示-《宁夏回族自治区突发环境事件应急预案管理办法（征求意见稿）》公开征求意见建议结果的公示.doc" \t "https://sthjt.nx.gov.cn/yqhy/dczj/202504/_self" </w:instrText>
      </w:r>
      <w:r>
        <w:rPr>
          <w:rFonts w:hint="default" w:ascii="Times New Roman" w:hAnsi="Times New Roman" w:eastAsia="方正小标宋简体" w:cs="Times New Roman"/>
          <w:i w:val="0"/>
          <w:iCs w:val="0"/>
          <w:caps w:val="0"/>
          <w:color w:val="000000"/>
          <w:spacing w:val="0"/>
          <w:sz w:val="44"/>
          <w:szCs w:val="44"/>
        </w:rPr>
        <w:fldChar w:fldCharType="separate"/>
      </w:r>
      <w:r>
        <w:rPr>
          <w:rFonts w:hint="default" w:ascii="Times New Roman" w:hAnsi="Times New Roman" w:eastAsia="方正小标宋简体" w:cs="Times New Roman"/>
          <w:i w:val="0"/>
          <w:iCs w:val="0"/>
          <w:caps w:val="0"/>
          <w:color w:val="000000"/>
          <w:spacing w:val="0"/>
          <w:sz w:val="44"/>
          <w:szCs w:val="44"/>
        </w:rPr>
        <w:t>公开征求意见建议结果的公示</w:t>
      </w:r>
      <w:r>
        <w:rPr>
          <w:rFonts w:hint="default" w:ascii="Times New Roman" w:hAnsi="Times New Roman" w:eastAsia="方正小标宋简体" w:cs="Times New Roman"/>
          <w:i w:val="0"/>
          <w:iCs w:val="0"/>
          <w:caps w:val="0"/>
          <w:color w:val="000000"/>
          <w:spacing w:val="0"/>
          <w:sz w:val="44"/>
          <w:szCs w:val="44"/>
        </w:rPr>
        <w:fldChar w:fldCharType="end"/>
      </w:r>
    </w:p>
    <w:bookmarkEnd w:id="0"/>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eastAsia="zh-CN"/>
        </w:rPr>
        <w:t>自治区生态环境厅起草的《自治区一般工业固体废物贮存处置场污染防控工作指南（征求意见稿）》</w:t>
      </w:r>
      <w:r>
        <w:rPr>
          <w:rFonts w:hint="default" w:ascii="Times New Roman" w:hAnsi="Times New Roman" w:eastAsia="仿宋_GB2312" w:cs="Times New Roman"/>
          <w:sz w:val="32"/>
          <w:szCs w:val="32"/>
          <w:lang w:val="en"/>
        </w:rPr>
        <w:t>于</w:t>
      </w:r>
      <w:r>
        <w:rPr>
          <w:rFonts w:hint="default" w:ascii="Times New Roman" w:hAnsi="Times New Roman" w:eastAsia="仿宋_GB2312" w:cs="Times New Roman"/>
          <w:sz w:val="32"/>
          <w:szCs w:val="32"/>
          <w:lang w:val="en"/>
        </w:rPr>
        <w:t>202</w:t>
      </w:r>
      <w:r>
        <w:rPr>
          <w:rFonts w:hint="default" w:ascii="Times New Roman" w:hAnsi="Times New Roman" w:eastAsia="仿宋_GB2312" w:cs="Times New Roman"/>
          <w:sz w:val="32"/>
          <w:szCs w:val="32"/>
          <w:lang w:val="en"/>
        </w:rPr>
        <w:t>5</w:t>
      </w:r>
      <w:r>
        <w:rPr>
          <w:rFonts w:hint="default" w:ascii="Times New Roman" w:hAnsi="Times New Roman" w:eastAsia="仿宋_GB2312" w:cs="Times New Roman"/>
          <w:sz w:val="32"/>
          <w:szCs w:val="32"/>
          <w:lang w:val="en"/>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
        </w:rPr>
        <w:t>月</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
        </w:rPr>
        <w:t>至</w:t>
      </w:r>
      <w:r>
        <w:rPr>
          <w:rFonts w:hint="default" w:ascii="Times New Roman" w:hAnsi="Times New Roman" w:eastAsia="仿宋_GB2312" w:cs="Times New Roman"/>
          <w:sz w:val="32"/>
          <w:szCs w:val="32"/>
          <w:lang w:val="en"/>
        </w:rPr>
        <w:t>202</w:t>
      </w:r>
      <w:r>
        <w:rPr>
          <w:rFonts w:hint="default" w:ascii="Times New Roman" w:hAnsi="Times New Roman" w:eastAsia="仿宋_GB2312" w:cs="Times New Roman"/>
          <w:sz w:val="32"/>
          <w:szCs w:val="32"/>
          <w:lang w:val="en"/>
        </w:rPr>
        <w:t>5</w:t>
      </w:r>
      <w:r>
        <w:rPr>
          <w:rFonts w:hint="default" w:ascii="Times New Roman" w:hAnsi="Times New Roman" w:eastAsia="仿宋_GB2312" w:cs="Times New Roman"/>
          <w:sz w:val="32"/>
          <w:szCs w:val="32"/>
          <w:lang w:val="en"/>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
        </w:rPr>
        <w:t>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
        </w:rPr>
        <w:t>日</w:t>
      </w:r>
      <w:r>
        <w:rPr>
          <w:rFonts w:hint="default" w:ascii="Times New Roman" w:hAnsi="Times New Roman" w:eastAsia="仿宋_GB2312" w:cs="Times New Roman"/>
          <w:sz w:val="32"/>
          <w:szCs w:val="32"/>
        </w:rPr>
        <w:t>通过自治区生态环境厅官网</w:t>
      </w:r>
      <w:r>
        <w:rPr>
          <w:rFonts w:hint="default" w:ascii="Times New Roman" w:hAnsi="Times New Roman" w:eastAsia="仿宋_GB2312" w:cs="Times New Roman"/>
          <w:sz w:val="32"/>
          <w:szCs w:val="32"/>
          <w:lang w:val="en"/>
        </w:rPr>
        <w:t>公开征求了意见。</w:t>
      </w:r>
      <w:r>
        <w:rPr>
          <w:rFonts w:hint="default" w:ascii="Times New Roman" w:hAnsi="Times New Roman" w:eastAsia="仿宋_GB2312" w:cs="Times New Roman"/>
          <w:sz w:val="32"/>
          <w:szCs w:val="32"/>
        </w:rPr>
        <w:t>共</w:t>
      </w:r>
      <w:r>
        <w:rPr>
          <w:rFonts w:hint="default" w:ascii="Times New Roman" w:hAnsi="Times New Roman" w:eastAsia="仿宋_GB2312" w:cs="Times New Roman"/>
          <w:sz w:val="32"/>
          <w:szCs w:val="32"/>
          <w:lang w:eastAsia="zh-CN"/>
        </w:rPr>
        <w:t>收到</w:t>
      </w:r>
      <w:r>
        <w:rPr>
          <w:rFonts w:hint="default" w:ascii="Times New Roman" w:hAnsi="Times New Roman" w:eastAsia="仿宋_GB2312" w:cs="Times New Roman"/>
          <w:sz w:val="32"/>
          <w:szCs w:val="32"/>
        </w:rPr>
        <w:t>意见建议</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条，经研究，采纳</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、部分采纳</w:t>
      </w:r>
      <w:r>
        <w:rPr>
          <w:rFonts w:hint="default" w:ascii="Times New Roman" w:hAnsi="Times New Roman" w:eastAsia="仿宋_GB2312" w:cs="Times New Roman"/>
          <w:sz w:val="32"/>
          <w:szCs w:val="32"/>
          <w:lang w:val="en-US" w:eastAsia="zh-CN"/>
        </w:rPr>
        <w:t>1条、未</w:t>
      </w:r>
      <w:r>
        <w:rPr>
          <w:rFonts w:hint="default" w:ascii="Times New Roman" w:hAnsi="Times New Roman" w:eastAsia="仿宋_GB2312" w:cs="Times New Roman"/>
          <w:sz w:val="32"/>
          <w:szCs w:val="32"/>
          <w:lang w:eastAsia="zh-CN"/>
        </w:rPr>
        <w:t>采纳</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条，未采纳意见已进行对接沟通</w:t>
      </w:r>
      <w:r>
        <w:rPr>
          <w:rFonts w:hint="default" w:ascii="Times New Roman" w:hAnsi="Times New Roman" w:eastAsia="仿宋_GB2312" w:cs="Times New Roman"/>
          <w:sz w:val="32"/>
          <w:szCs w:val="32"/>
        </w:rPr>
        <w:t>。现将意见反馈汇总表予以公示。</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宁夏回族自治区生态环境厅</w:t>
      </w:r>
      <w:r>
        <w:rPr>
          <w:rFonts w:hint="default" w:ascii="Times New Roman" w:hAnsi="Times New Roman" w:eastAsia="仿宋_GB2312" w:cs="Times New Roman"/>
          <w:sz w:val="32"/>
          <w:szCs w:val="32"/>
          <w:lang w:val="en-US" w:eastAsia="zh-CN"/>
        </w:rPr>
        <w:t xml:space="preserve">       </w:t>
      </w:r>
    </w:p>
    <w:p>
      <w:pPr>
        <w:widowControl/>
        <w:ind w:firstLine="4480" w:firstLineChars="1400"/>
        <w:jc w:val="left"/>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pPr>
        <w:rPr>
          <w:rFonts w:hint="default"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pPr>
        <w:rPr>
          <w:rFonts w:hint="default" w:ascii="Times New Roman" w:hAnsi="Times New Roman" w:eastAsia="方正仿宋_GBK" w:cs="Times New Roman"/>
          <w:sz w:val="32"/>
          <w:szCs w:val="20"/>
        </w:rPr>
      </w:pPr>
      <w:r>
        <w:rPr>
          <w:rFonts w:hint="default" w:ascii="Times New Roman" w:hAnsi="Times New Roman" w:eastAsia="黑体" w:cs="Times New Roman"/>
          <w:sz w:val="32"/>
          <w:szCs w:val="20"/>
        </w:rPr>
        <w:t>附件</w:t>
      </w:r>
      <w:r>
        <w:rPr>
          <w:rFonts w:hint="default" w:ascii="Times New Roman" w:hAnsi="Times New Roman" w:eastAsia="方正仿宋_GBK" w:cs="Times New Roman"/>
          <w:sz w:val="32"/>
          <w:szCs w:val="20"/>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w:t>
      </w:r>
      <w:r>
        <w:rPr>
          <w:rFonts w:hint="default" w:ascii="Times New Roman" w:hAnsi="Times New Roman" w:eastAsia="方正小标宋简体" w:cs="Times New Roman"/>
          <w:i w:val="0"/>
          <w:iCs w:val="0"/>
          <w:caps w:val="0"/>
          <w:color w:val="000000"/>
          <w:spacing w:val="0"/>
          <w:sz w:val="44"/>
          <w:szCs w:val="44"/>
        </w:rPr>
        <w:t>自治区一般工业固体废物贮存处置场污染防控工作指南（征求意见稿）</w:t>
      </w:r>
      <w:r>
        <w:rPr>
          <w:rFonts w:hint="default" w:ascii="Times New Roman" w:hAnsi="Times New Roman" w:eastAsia="方正小标宋简体" w:cs="Times New Roman"/>
          <w:sz w:val="44"/>
          <w:szCs w:val="44"/>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方正小标宋简体" w:cs="Times New Roman"/>
          <w:sz w:val="44"/>
          <w:szCs w:val="44"/>
        </w:rPr>
        <w:t>意见</w:t>
      </w:r>
      <w:r>
        <w:rPr>
          <w:rFonts w:hint="default" w:ascii="Times New Roman" w:hAnsi="Times New Roman" w:eastAsia="方正小标宋简体" w:cs="Times New Roman"/>
          <w:sz w:val="44"/>
          <w:szCs w:val="44"/>
        </w:rPr>
        <w:t>反馈</w:t>
      </w:r>
      <w:r>
        <w:rPr>
          <w:rFonts w:hint="default" w:ascii="Times New Roman" w:hAnsi="Times New Roman" w:eastAsia="方正小标宋简体" w:cs="Times New Roman"/>
          <w:sz w:val="44"/>
          <w:szCs w:val="44"/>
          <w:lang w:eastAsia="zh-CN"/>
        </w:rPr>
        <w:t>汇总</w:t>
      </w:r>
      <w:r>
        <w:rPr>
          <w:rFonts w:hint="default" w:ascii="Times New Roman" w:hAnsi="Times New Roman" w:eastAsia="方正小标宋简体" w:cs="Times New Roman"/>
          <w:sz w:val="44"/>
          <w:szCs w:val="44"/>
        </w:rPr>
        <w:t>表</w:t>
      </w:r>
      <w:r>
        <w:rPr>
          <w:rFonts w:hint="default" w:ascii="Times New Roman" w:hAnsi="Times New Roman" w:eastAsia="仿宋_GB2312"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p>
    <w:tbl>
      <w:tblPr>
        <w:tblStyle w:val="7"/>
        <w:tblW w:w="14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5333"/>
        <w:gridCol w:w="4400"/>
        <w:gridCol w:w="867"/>
        <w:gridCol w:w="3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8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国标黑体" w:cs="Times New Roman"/>
                <w:sz w:val="28"/>
                <w:szCs w:val="28"/>
              </w:rPr>
            </w:pPr>
            <w:r>
              <w:rPr>
                <w:rFonts w:hint="default" w:ascii="Times New Roman" w:hAnsi="Times New Roman" w:eastAsia="国标黑体" w:cs="Times New Roman"/>
                <w:sz w:val="28"/>
                <w:szCs w:val="28"/>
              </w:rPr>
              <w:t>序号</w:t>
            </w:r>
          </w:p>
        </w:tc>
        <w:tc>
          <w:tcPr>
            <w:tcW w:w="53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国标黑体" w:cs="Times New Roman"/>
                <w:sz w:val="28"/>
                <w:szCs w:val="28"/>
              </w:rPr>
            </w:pPr>
            <w:r>
              <w:rPr>
                <w:rFonts w:hint="default" w:ascii="Times New Roman" w:hAnsi="Times New Roman" w:eastAsia="国标黑体" w:cs="Times New Roman"/>
                <w:sz w:val="28"/>
                <w:szCs w:val="28"/>
              </w:rPr>
              <w:t>原文内容</w:t>
            </w:r>
          </w:p>
        </w:tc>
        <w:tc>
          <w:tcPr>
            <w:tcW w:w="44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国标黑体" w:cs="Times New Roman"/>
                <w:sz w:val="28"/>
                <w:szCs w:val="28"/>
              </w:rPr>
            </w:pPr>
            <w:r>
              <w:rPr>
                <w:rFonts w:hint="default" w:ascii="Times New Roman" w:hAnsi="Times New Roman" w:eastAsia="国标黑体" w:cs="Times New Roman"/>
                <w:sz w:val="28"/>
                <w:szCs w:val="28"/>
              </w:rPr>
              <w:t>修改意见</w:t>
            </w:r>
          </w:p>
        </w:tc>
        <w:tc>
          <w:tcPr>
            <w:tcW w:w="8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国标黑体" w:cs="Times New Roman"/>
                <w:sz w:val="28"/>
                <w:szCs w:val="28"/>
                <w:lang w:eastAsia="zh-CN"/>
              </w:rPr>
            </w:pPr>
            <w:r>
              <w:rPr>
                <w:rFonts w:hint="default" w:ascii="Times New Roman" w:hAnsi="Times New Roman" w:eastAsia="国标黑体" w:cs="Times New Roman"/>
                <w:sz w:val="28"/>
                <w:szCs w:val="28"/>
                <w:lang w:eastAsia="zh-CN"/>
              </w:rPr>
              <w:t>是否</w:t>
            </w:r>
            <w:r>
              <w:rPr>
                <w:rFonts w:hint="default" w:ascii="Times New Roman" w:hAnsi="Times New Roman" w:eastAsia="国标黑体" w:cs="Times New Roman"/>
                <w:sz w:val="28"/>
                <w:szCs w:val="28"/>
                <w:lang w:val="en-US" w:eastAsia="zh-CN"/>
              </w:rPr>
              <w:t xml:space="preserve">  </w:t>
            </w:r>
            <w:r>
              <w:rPr>
                <w:rFonts w:hint="default" w:ascii="Times New Roman" w:hAnsi="Times New Roman" w:eastAsia="国标黑体" w:cs="Times New Roman"/>
                <w:sz w:val="28"/>
                <w:szCs w:val="28"/>
                <w:lang w:eastAsia="zh-CN"/>
              </w:rPr>
              <w:t>采纳</w:t>
            </w:r>
          </w:p>
        </w:tc>
        <w:tc>
          <w:tcPr>
            <w:tcW w:w="31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国标黑体" w:cs="Times New Roman"/>
                <w:sz w:val="28"/>
                <w:szCs w:val="28"/>
                <w:lang w:eastAsia="zh-CN"/>
              </w:rPr>
            </w:pPr>
            <w:r>
              <w:rPr>
                <w:rFonts w:hint="default" w:ascii="Times New Roman" w:hAnsi="Times New Roman" w:eastAsia="国标黑体" w:cs="Times New Roman"/>
                <w:sz w:val="28"/>
                <w:szCs w:val="28"/>
                <w:lang w:eastAsia="zh-CN"/>
              </w:rPr>
              <w:t>未采纳理由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896" w:type="dxa"/>
            <w:shd w:val="clear" w:color="auto" w:fill="auto"/>
            <w:vAlign w:val="center"/>
          </w:tcPr>
          <w:p>
            <w:pPr>
              <w:jc w:val="center"/>
              <w:rPr>
                <w:rFonts w:hint="default" w:ascii="Times New Roman" w:hAnsi="Times New Roman"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53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（一）入场要求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建立固体废物属性鉴别制度。规范鉴别流程，加强入场属性鉴别分析。新接收的固体废物进场前，应要求固体废物产生单位提供环境影响评价文件及批复、固体废物属性鉴别报告等固体废物属性证明材料，固体废物产生单位无法提供证明材料、属性不明的固体废物不应接收进场。</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下列固体废物禁止进入一般工业固体废物贮存、处置场进行贮存填埋：</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rPr>
            </w:pPr>
            <w:r>
              <w:rPr>
                <w:rFonts w:hint="default" w:ascii="Times New Roman" w:hAnsi="Times New Roman" w:eastAsia="仿宋_GB2312" w:cs="Times New Roman"/>
                <w:sz w:val="24"/>
                <w:szCs w:val="24"/>
              </w:rPr>
              <w:t>（4）有机质含量大于5%或水溶性盐含量大于5%的一般工业固体废物。</w:t>
            </w:r>
          </w:p>
        </w:tc>
        <w:tc>
          <w:tcPr>
            <w:tcW w:w="44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建议根据环评试生产期间固废接收企业正常接收，试生产5月后必须提交属性鉴定报告。 并明确产废企业产生一般工业固体废物有机质或水溶性盐超了的一般工业固体废物如何处置。</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p>
        </w:tc>
        <w:tc>
          <w:tcPr>
            <w:tcW w:w="8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i w:val="0"/>
                <w:iCs w:val="0"/>
                <w:caps w:val="0"/>
                <w:color w:val="171A1D"/>
                <w:spacing w:val="0"/>
                <w:kern w:val="0"/>
                <w:sz w:val="24"/>
                <w:szCs w:val="24"/>
                <w:shd w:val="clear" w:fill="FFFFFF"/>
                <w:lang w:val="en-US" w:eastAsia="zh-CN" w:bidi="ar"/>
              </w:rPr>
              <w:t>否</w:t>
            </w:r>
          </w:p>
        </w:tc>
        <w:tc>
          <w:tcPr>
            <w:tcW w:w="3145"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为确保接收入场的固体废物符合《一般工业固体废物贮存和填埋污染控制标准》（GB18599）等相关标准要求，应做好相关入场要求。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jc w:val="center"/>
        </w:trPr>
        <w:tc>
          <w:tcPr>
            <w:tcW w:w="896" w:type="dxa"/>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53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（一）入场要求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下列固体废物禁止进入一般工业固体废物贮存、处置场进行贮存填埋：</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（1）列入《国家危险废物名录》或经鉴别具有危险废物特性的固体废物。</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（2）建筑垃圾、生活垃圾及《生活垃圾填埋场污染控制标准》（GB16889）认定需要进入生活垃圾填埋场处理的固体废物。</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（3）经检测具有放射性的工业固体废物。</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（4）有机质含量大于5%或水溶性盐含量大于5%的一般工业固体废物。</w:t>
            </w:r>
          </w:p>
        </w:tc>
        <w:tc>
          <w:tcPr>
            <w:tcW w:w="44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在生产单氰胺的过程中，产生一般固废（单氰胺过滤废渣），通过分类鉴别一般固废成份主要为主要是碳酸钙和碳，一般固废填埋有机质是通过灼烧减量法而得出的数据，而我们的固废中减少的是碳和水分的含量，因此这种检测方法是不适用于单氰胺固废。建议出台相关政策。</w:t>
            </w:r>
          </w:p>
        </w:tc>
        <w:tc>
          <w:tcPr>
            <w:tcW w:w="8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caps w:val="0"/>
                <w:color w:val="171A1D"/>
                <w:spacing w:val="0"/>
                <w:kern w:val="0"/>
                <w:sz w:val="24"/>
                <w:szCs w:val="24"/>
                <w:shd w:val="clear" w:fill="FFFFFF"/>
                <w:lang w:val="en-US" w:eastAsia="zh-CN" w:bidi="ar"/>
              </w:rPr>
            </w:pPr>
            <w:r>
              <w:rPr>
                <w:rFonts w:hint="default" w:ascii="Times New Roman" w:hAnsi="Times New Roman" w:eastAsia="仿宋_GB2312" w:cs="Times New Roman"/>
                <w:i w:val="0"/>
                <w:iCs w:val="0"/>
                <w:caps w:val="0"/>
                <w:color w:val="171A1D"/>
                <w:spacing w:val="0"/>
                <w:kern w:val="0"/>
                <w:sz w:val="24"/>
                <w:szCs w:val="24"/>
                <w:shd w:val="clear" w:fill="FFFFFF"/>
                <w:lang w:val="en-US" w:eastAsia="zh-CN" w:bidi="ar"/>
              </w:rPr>
              <w:t>否</w:t>
            </w:r>
          </w:p>
        </w:tc>
        <w:tc>
          <w:tcPr>
            <w:tcW w:w="3145"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本文适用于自治区行政区域范围内的一般工业固体废物贮存、处置场，参照本工作指南开展建设、运行、封场等过程的污染防控和环境管理，不涉及固废检测方法。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7" w:hRule="atLeast"/>
          <w:jc w:val="center"/>
        </w:trPr>
        <w:tc>
          <w:tcPr>
            <w:tcW w:w="896" w:type="dxa"/>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p>
        </w:tc>
        <w:tc>
          <w:tcPr>
            <w:tcW w:w="53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（一）入场要求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建立固体废物属性鉴别制度。规范鉴别流程，加强入场属性鉴别分析。新接收的固体废物进场前，应要求固体废物产生单位提供环境影响评价文件及批复、固体废物属性鉴别报告等固体废物属性证明材料，固体废物产生单位无法提供证明材料、属性不明的固体废物不应接收进场。</w:t>
            </w:r>
          </w:p>
        </w:tc>
        <w:tc>
          <w:tcPr>
            <w:tcW w:w="44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eastAsia="zh-CN"/>
              </w:rPr>
              <w:t>填埋、贮存场建立固体废物入场管理制度，规范入场流程。产废企业应结合项目环境影响评价文件、危废属性鉴别报告、固废有机质指标和水溶性盐总量指标第三方现场取样监测报告等固体废物属性证明材料综合考虑确定固废去向，产废单位计划填埋、贮存一般工业固废的，应主动向填埋、贮存场提供合理证明材料。产废单位无法提供证明材料、属性不明的固体废物不得进场。</w:t>
            </w:r>
          </w:p>
        </w:tc>
        <w:tc>
          <w:tcPr>
            <w:tcW w:w="8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caps w:val="0"/>
                <w:color w:val="171A1D"/>
                <w:spacing w:val="0"/>
                <w:kern w:val="0"/>
                <w:sz w:val="24"/>
                <w:szCs w:val="24"/>
                <w:shd w:val="clear" w:fill="FFFFFF"/>
                <w:lang w:val="en-US" w:eastAsia="zh-CN" w:bidi="ar"/>
              </w:rPr>
            </w:pPr>
            <w:r>
              <w:rPr>
                <w:rFonts w:hint="default" w:ascii="Times New Roman" w:hAnsi="Times New Roman" w:eastAsia="仿宋_GB2312" w:cs="Times New Roman"/>
                <w:i w:val="0"/>
                <w:iCs w:val="0"/>
                <w:caps w:val="0"/>
                <w:color w:val="171A1D"/>
                <w:spacing w:val="0"/>
                <w:kern w:val="0"/>
                <w:sz w:val="24"/>
                <w:szCs w:val="24"/>
                <w:shd w:val="clear" w:fill="FFFFFF"/>
                <w:lang w:val="en-US" w:eastAsia="zh-CN" w:bidi="ar"/>
              </w:rPr>
              <w:t>否</w:t>
            </w:r>
          </w:p>
        </w:tc>
        <w:tc>
          <w:tcPr>
            <w:tcW w:w="3145"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本文适用于自治区行政区域范围内的一般工业固体废物贮存、处置场，参照本工作指南开展建设、运行、封场等过程的污染防控和环境管理。不涉及产废单位相关管理要求。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jc w:val="center"/>
        </w:trPr>
        <w:tc>
          <w:tcPr>
            <w:tcW w:w="896" w:type="dxa"/>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w:t>
            </w:r>
          </w:p>
        </w:tc>
        <w:tc>
          <w:tcPr>
            <w:tcW w:w="53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建立一般工业固体废物入场检测制度。固体废物进场前应确认一般工业固体废物属性，开展有机质含量、水溶性盐含量检测，并做好检测记录和资料存档。严格执行《一般工业固体废物贮存和填埋污染控制标准》（GB18599）I类场、II类场进入要求。</w:t>
            </w:r>
          </w:p>
        </w:tc>
        <w:tc>
          <w:tcPr>
            <w:tcW w:w="44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建立一般工业固体废物入场检测制度</w:t>
            </w:r>
            <w:r>
              <w:rPr>
                <w:rFonts w:hint="default" w:ascii="Times New Roman" w:hAnsi="Times New Roman" w:eastAsia="仿宋_GB2312" w:cs="Times New Roman"/>
                <w:sz w:val="24"/>
                <w:szCs w:val="24"/>
                <w:lang w:eastAsia="zh-CN"/>
              </w:rPr>
              <w:t>，签订合同前应当</w:t>
            </w:r>
            <w:r>
              <w:rPr>
                <w:rFonts w:hint="default" w:ascii="Times New Roman" w:hAnsi="Times New Roman" w:eastAsia="仿宋_GB2312" w:cs="Times New Roman"/>
                <w:sz w:val="24"/>
                <w:szCs w:val="24"/>
              </w:rPr>
              <w:t>确认一般工业固体废物属性，开展有机质含量、水溶性盐含量</w:t>
            </w:r>
            <w:r>
              <w:rPr>
                <w:rFonts w:hint="default" w:ascii="Times New Roman" w:hAnsi="Times New Roman" w:eastAsia="仿宋_GB2312" w:cs="Times New Roman"/>
                <w:sz w:val="24"/>
                <w:szCs w:val="24"/>
                <w:lang w:eastAsia="zh-CN"/>
              </w:rPr>
              <w:t>抽样</w:t>
            </w:r>
            <w:r>
              <w:rPr>
                <w:rFonts w:hint="default" w:ascii="Times New Roman" w:hAnsi="Times New Roman" w:eastAsia="仿宋_GB2312" w:cs="Times New Roman"/>
                <w:sz w:val="24"/>
                <w:szCs w:val="24"/>
              </w:rPr>
              <w:t>检测，并做好检测记录和资料存档。严格执行《一般工业固体废物贮存和填埋污染控制标准》（GB18599）I类场、II类场进入要求。</w:t>
            </w:r>
          </w:p>
        </w:tc>
        <w:tc>
          <w:tcPr>
            <w:tcW w:w="8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caps w:val="0"/>
                <w:color w:val="171A1D"/>
                <w:spacing w:val="0"/>
                <w:kern w:val="0"/>
                <w:sz w:val="24"/>
                <w:szCs w:val="24"/>
                <w:shd w:val="clear" w:fill="FFFFFF"/>
                <w:lang w:val="en-US" w:eastAsia="zh-CN" w:bidi="ar"/>
              </w:rPr>
            </w:pPr>
            <w:r>
              <w:rPr>
                <w:rFonts w:hint="default" w:ascii="Times New Roman" w:hAnsi="Times New Roman" w:eastAsia="仿宋_GB2312" w:cs="Times New Roman"/>
                <w:i w:val="0"/>
                <w:iCs w:val="0"/>
                <w:caps w:val="0"/>
                <w:color w:val="171A1D"/>
                <w:spacing w:val="0"/>
                <w:kern w:val="0"/>
                <w:sz w:val="24"/>
                <w:szCs w:val="24"/>
                <w:shd w:val="clear" w:fill="FFFFFF"/>
                <w:lang w:val="en-US" w:eastAsia="zh-CN" w:bidi="ar"/>
              </w:rPr>
              <w:t>是</w:t>
            </w:r>
          </w:p>
        </w:tc>
        <w:tc>
          <w:tcPr>
            <w:tcW w:w="3145"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2.建立一般工业固体废物入场检测制度。签订合同前应当确认一般工业固体废物属性，明确产生工艺及节点，开展有机质含量、水溶性盐含量检测。若后期一般工业固体废物产生工艺及节点发生改变或性状发生改变，则要重新开展检测工作。严格执行《一般工业固体废物贮存和填埋污染控制标准》（GB18599）I类场、II类场进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jc w:val="center"/>
        </w:trPr>
        <w:tc>
          <w:tcPr>
            <w:tcW w:w="896" w:type="dxa"/>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53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内部道路需采取有效的铺装和洒水控尘措施，确保不产生明显扬尘。场内作业流动机械和装载车辆应控制车速，装卸车时应降低落料高度，采取喷淋等湿法控尘措施。进场堆存物料要进行推铺、洒水、压实，未压实的物料须进行临时覆盖，控制每日作业面，防止扬尘污染，大风天气应停止作业。严禁超过设计标高和库容贮存填埋。</w:t>
            </w:r>
          </w:p>
        </w:tc>
        <w:tc>
          <w:tcPr>
            <w:tcW w:w="44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5.内部道路需采取有效的铺装和洒水控尘措施，确保不产生明显扬尘。场内作业流动机械和装载车辆应控制车速，装卸车时应降低落料高度，采取</w:t>
            </w:r>
            <w:r>
              <w:rPr>
                <w:rFonts w:hint="default" w:ascii="Times New Roman" w:hAnsi="Times New Roman" w:eastAsia="仿宋_GB2312" w:cs="Times New Roman"/>
                <w:sz w:val="24"/>
                <w:szCs w:val="24"/>
                <w:lang w:eastAsia="zh-CN"/>
              </w:rPr>
              <w:t>洒水、</w:t>
            </w:r>
            <w:r>
              <w:rPr>
                <w:rFonts w:hint="default" w:ascii="Times New Roman" w:hAnsi="Times New Roman" w:eastAsia="仿宋_GB2312" w:cs="Times New Roman"/>
                <w:sz w:val="24"/>
                <w:szCs w:val="24"/>
              </w:rPr>
              <w:t>喷淋等湿法控尘措施。进场堆存物料</w:t>
            </w:r>
            <w:r>
              <w:rPr>
                <w:rFonts w:hint="default" w:ascii="Times New Roman" w:hAnsi="Times New Roman" w:eastAsia="仿宋_GB2312" w:cs="Times New Roman"/>
                <w:sz w:val="24"/>
                <w:szCs w:val="24"/>
                <w:lang w:eastAsia="zh-CN"/>
              </w:rPr>
              <w:t>根据实际含水率情况</w:t>
            </w:r>
            <w:r>
              <w:rPr>
                <w:rFonts w:hint="default" w:ascii="Times New Roman" w:hAnsi="Times New Roman" w:eastAsia="仿宋_GB2312" w:cs="Times New Roman"/>
                <w:sz w:val="24"/>
                <w:szCs w:val="24"/>
              </w:rPr>
              <w:t>进行推铺、洒水、压实，未压实的物料须进行临时覆盖，控制每日作业面，防止扬尘污染，大风天气应停止作业。严禁超过设计标高和</w:t>
            </w:r>
            <w:r>
              <w:rPr>
                <w:rFonts w:hint="default" w:ascii="Times New Roman" w:hAnsi="Times New Roman" w:eastAsia="仿宋_GB2312" w:cs="Times New Roman"/>
                <w:sz w:val="24"/>
                <w:szCs w:val="24"/>
                <w:lang w:eastAsia="zh-CN"/>
              </w:rPr>
              <w:t>边界</w:t>
            </w:r>
            <w:r>
              <w:rPr>
                <w:rFonts w:hint="default" w:ascii="Times New Roman" w:hAnsi="Times New Roman" w:eastAsia="仿宋_GB2312" w:cs="Times New Roman"/>
                <w:sz w:val="24"/>
                <w:szCs w:val="24"/>
              </w:rPr>
              <w:t>贮存填埋。</w:t>
            </w:r>
          </w:p>
        </w:tc>
        <w:tc>
          <w:tcPr>
            <w:tcW w:w="8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caps w:val="0"/>
                <w:color w:val="171A1D"/>
                <w:spacing w:val="0"/>
                <w:kern w:val="0"/>
                <w:sz w:val="24"/>
                <w:szCs w:val="24"/>
                <w:shd w:val="clear" w:fill="FFFFFF"/>
                <w:lang w:val="en-US" w:eastAsia="zh-CN" w:bidi="ar"/>
              </w:rPr>
            </w:pPr>
            <w:r>
              <w:rPr>
                <w:rFonts w:hint="default" w:ascii="Times New Roman" w:hAnsi="Times New Roman" w:eastAsia="仿宋_GB2312" w:cs="Times New Roman"/>
                <w:i w:val="0"/>
                <w:iCs w:val="0"/>
                <w:caps w:val="0"/>
                <w:color w:val="171A1D"/>
                <w:spacing w:val="0"/>
                <w:kern w:val="0"/>
                <w:sz w:val="24"/>
                <w:szCs w:val="24"/>
                <w:shd w:val="clear" w:fill="FFFFFF"/>
                <w:lang w:val="en-US" w:eastAsia="zh-CN" w:bidi="ar"/>
              </w:rPr>
              <w:t>部分采纳</w:t>
            </w:r>
          </w:p>
        </w:tc>
        <w:tc>
          <w:tcPr>
            <w:tcW w:w="3145"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5.内部道路需采取有效的铺装和洒水控尘措施，确保不产生明显扬尘。场内作业流动机械和装载车辆应控制车速，装卸车时应降低落料高度，采取喷淋等湿法控尘措施。进场堆存物料进行推铺、洒水、压实，未压实的物料须进行临时覆盖，控制每日作业面，防止扬尘污染，大风天气应停止作业。严禁超过设计标高和边界贮存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jc w:val="center"/>
        </w:trPr>
        <w:tc>
          <w:tcPr>
            <w:tcW w:w="896" w:type="dxa"/>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3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1.大气污染防治。采取分区作业、覆土碾压、洒水抑尘、边坡绿化等防止扬尘污染的处理措施，产生气体的还应对排放气体采取污染防治措施。无组织排放应当符合污染物排放标准要求。</w:t>
            </w:r>
          </w:p>
        </w:tc>
        <w:tc>
          <w:tcPr>
            <w:tcW w:w="44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因缺少取土土源，建议删除覆土。</w:t>
            </w:r>
          </w:p>
        </w:tc>
        <w:tc>
          <w:tcPr>
            <w:tcW w:w="8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caps w:val="0"/>
                <w:color w:val="171A1D"/>
                <w:spacing w:val="0"/>
                <w:kern w:val="0"/>
                <w:sz w:val="24"/>
                <w:szCs w:val="24"/>
                <w:shd w:val="clear" w:fill="FFFFFF"/>
                <w:lang w:val="en-US" w:eastAsia="zh-CN" w:bidi="ar"/>
              </w:rPr>
            </w:pPr>
            <w:r>
              <w:rPr>
                <w:rFonts w:hint="default" w:ascii="Times New Roman" w:hAnsi="Times New Roman" w:eastAsia="仿宋_GB2312" w:cs="Times New Roman"/>
                <w:i w:val="0"/>
                <w:iCs w:val="0"/>
                <w:caps w:val="0"/>
                <w:color w:val="171A1D"/>
                <w:spacing w:val="0"/>
                <w:kern w:val="0"/>
                <w:sz w:val="24"/>
                <w:szCs w:val="24"/>
                <w:shd w:val="clear" w:fill="FFFFFF"/>
                <w:lang w:val="en-US" w:eastAsia="zh-CN" w:bidi="ar"/>
              </w:rPr>
              <w:t>是</w:t>
            </w:r>
          </w:p>
        </w:tc>
        <w:tc>
          <w:tcPr>
            <w:tcW w:w="3145"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1.大气污染防治。采取分区作业、覆盖碾压、洒水抑尘、边坡绿化等防止扬尘污染的处理措施，产生气体的还应对排放气体采取污染防治措施。无组织排放应当符合污染物排放标准要求。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jc w:val="center"/>
        </w:trPr>
        <w:tc>
          <w:tcPr>
            <w:tcW w:w="896" w:type="dxa"/>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53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地下水污染防治。按照有关规定采取防渗措施，并设置地下水水质监测井，定期开展地下水水质自行监测。发现地下水水质监测数据异常、有被污染的迹象时，及时向属地生态环境部门报告，对照地下水本底水平，查找原因并采取相应措施，防止污染进一步扩散。</w:t>
            </w:r>
          </w:p>
        </w:tc>
        <w:tc>
          <w:tcPr>
            <w:tcW w:w="44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因地下水上游水质会影响地下水下游水质指标，建议将“</w:t>
            </w:r>
            <w:r>
              <w:rPr>
                <w:rFonts w:hint="default" w:ascii="Times New Roman" w:hAnsi="Times New Roman" w:eastAsia="仿宋_GB2312" w:cs="Times New Roman"/>
                <w:sz w:val="24"/>
                <w:szCs w:val="24"/>
              </w:rPr>
              <w:t>对照地下水本底水平</w:t>
            </w:r>
            <w:r>
              <w:rPr>
                <w:rFonts w:hint="default" w:ascii="Times New Roman" w:hAnsi="Times New Roman" w:eastAsia="仿宋_GB2312" w:cs="Times New Roman"/>
                <w:sz w:val="24"/>
                <w:szCs w:val="24"/>
                <w:lang w:eastAsia="zh-CN"/>
              </w:rPr>
              <w:t>”修改为“</w:t>
            </w:r>
            <w:r>
              <w:rPr>
                <w:rFonts w:hint="default" w:ascii="Times New Roman" w:hAnsi="Times New Roman" w:eastAsia="仿宋_GB2312" w:cs="Times New Roman"/>
                <w:sz w:val="24"/>
                <w:szCs w:val="24"/>
              </w:rPr>
              <w:t>对照地下水</w:t>
            </w:r>
            <w:r>
              <w:rPr>
                <w:rFonts w:hint="default" w:ascii="Times New Roman" w:hAnsi="Times New Roman" w:eastAsia="仿宋_GB2312" w:cs="Times New Roman"/>
                <w:sz w:val="24"/>
                <w:szCs w:val="24"/>
                <w:lang w:eastAsia="zh-CN"/>
              </w:rPr>
              <w:t>上游背景值</w:t>
            </w:r>
            <w:r>
              <w:rPr>
                <w:rFonts w:hint="default" w:ascii="Times New Roman" w:hAnsi="Times New Roman" w:eastAsia="仿宋_GB2312" w:cs="Times New Roman"/>
                <w:sz w:val="24"/>
                <w:szCs w:val="24"/>
              </w:rPr>
              <w:t>水平</w:t>
            </w:r>
            <w:r>
              <w:rPr>
                <w:rFonts w:hint="default" w:ascii="Times New Roman" w:hAnsi="Times New Roman" w:eastAsia="仿宋_GB2312" w:cs="Times New Roman"/>
                <w:sz w:val="24"/>
                <w:szCs w:val="24"/>
                <w:lang w:eastAsia="zh-CN"/>
              </w:rPr>
              <w:t>”。</w:t>
            </w:r>
          </w:p>
        </w:tc>
        <w:tc>
          <w:tcPr>
            <w:tcW w:w="8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caps w:val="0"/>
                <w:color w:val="171A1D"/>
                <w:spacing w:val="0"/>
                <w:kern w:val="0"/>
                <w:sz w:val="24"/>
                <w:szCs w:val="24"/>
                <w:shd w:val="clear" w:fill="FFFFFF"/>
                <w:lang w:val="en-US" w:eastAsia="zh-CN" w:bidi="ar"/>
              </w:rPr>
            </w:pPr>
            <w:r>
              <w:rPr>
                <w:rFonts w:hint="default" w:ascii="Times New Roman" w:hAnsi="Times New Roman" w:eastAsia="仿宋_GB2312" w:cs="Times New Roman"/>
                <w:i w:val="0"/>
                <w:iCs w:val="0"/>
                <w:caps w:val="0"/>
                <w:color w:val="171A1D"/>
                <w:spacing w:val="0"/>
                <w:kern w:val="0"/>
                <w:sz w:val="24"/>
                <w:szCs w:val="24"/>
                <w:shd w:val="clear" w:fill="FFFFFF"/>
                <w:lang w:val="en-US" w:eastAsia="zh-CN" w:bidi="ar"/>
              </w:rPr>
              <w:t>部分采纳</w:t>
            </w:r>
          </w:p>
        </w:tc>
        <w:tc>
          <w:tcPr>
            <w:tcW w:w="3145"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地下水污染防治。按照有关规定采取防渗措施，并设置地下水水质监测井，定期开展地下水水质自行监测。发现地下水水质监测数据异常、有被污染的迹象时，及时向属地生态环境部门报告，结合地下水本底水平等，查找原因并采取相应措施，防止污染进一步扩散。</w:t>
            </w:r>
          </w:p>
        </w:tc>
      </w:tr>
    </w:tbl>
    <w:p>
      <w:pPr>
        <w:rPr>
          <w:rFonts w:hint="default" w:ascii="Times New Roman" w:hAnsi="Times New Roman" w:eastAsia="仿宋_GB2312" w:cs="Times New Roman"/>
          <w:sz w:val="32"/>
          <w:szCs w:val="32"/>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907AD"/>
    <w:rsid w:val="5F7F9E78"/>
    <w:rsid w:val="5FF907AD"/>
    <w:rsid w:val="B8DFC3DF"/>
    <w:rsid w:val="E4FFB2E7"/>
    <w:rsid w:val="FFF7B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eastAsia="仿宋_GB2312"/>
      <w:sz w:val="32"/>
    </w:rPr>
  </w:style>
  <w:style w:type="paragraph" w:styleId="3">
    <w:name w:val="Body Text Indent"/>
    <w:basedOn w:val="1"/>
    <w:next w:val="4"/>
    <w:unhideWhenUsed/>
    <w:qFormat/>
    <w:uiPriority w:val="99"/>
    <w:pPr>
      <w:suppressAutoHyphens/>
      <w:bidi w:val="0"/>
      <w:spacing w:after="120"/>
      <w:ind w:left="420" w:leftChars="200"/>
    </w:pPr>
    <w:rPr>
      <w:rFonts w:ascii="Calibri" w:hAnsi="Calibri" w:eastAsia="宋体" w:cs="Times New Roman"/>
      <w:color w:val="auto"/>
      <w:sz w:val="21"/>
      <w:szCs w:val="24"/>
    </w:rPr>
  </w:style>
  <w:style w:type="paragraph" w:styleId="4">
    <w:name w:val="index 5"/>
    <w:basedOn w:val="1"/>
    <w:next w:val="1"/>
    <w:unhideWhenUsed/>
    <w:qFormat/>
    <w:uiPriority w:val="99"/>
    <w:pPr>
      <w:suppressAutoHyphens/>
      <w:bidi w:val="0"/>
      <w:ind w:left="1680"/>
    </w:pPr>
    <w:rPr>
      <w:rFonts w:ascii="Calibri" w:hAnsi="Calibri" w:eastAsia="宋体" w:cs="Times New Roman"/>
      <w:color w:val="auto"/>
      <w:sz w:val="21"/>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2025-11-04T09:04:00Z</dcterms:created>
  <dc:creator>鲜曝狙不饺</dc:creator>
  <cp:lastModifiedBy>a02792</cp:lastModifiedBy>
  <dcterms:modified xsi:type="dcterms:W3CDTF">2025-12-17T16:29:36Z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1CBE61099BBC44C291BA9E690856FAE3_11</vt:lpwstr>
  </property>
  <property fmtid="{D5CDD505-2E9C-101B-9397-08002B2CF9AE}" pid="4" name="KSOTemplateDocerSaveRecord">
    <vt:lpwstr>eyJoZGlkIjoiYzM0N2JhMGU2NjdkMjBjMzRjZTJjOTU3ZDEzMGQ4ZTMiLCJ1c2VySWQiOiIxNzA5NzYzMjIwIn0=</vt:lpwstr>
  </property>
</Properties>
</file>