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2022年环境质量和污染物排放总量考核</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奖补资金绩效自评报告</w:t>
      </w:r>
    </w:p>
    <w:p>
      <w:pPr>
        <w:spacing w:line="600" w:lineRule="exact"/>
        <w:rPr>
          <w:rFonts w:ascii="Times New Roman" w:hAnsi="Times New Roman" w:eastAsia="仿宋_GB2312" w:cs="Times New Roman"/>
          <w:sz w:val="32"/>
          <w:szCs w:val="32"/>
        </w:rPr>
      </w:pPr>
    </w:p>
    <w:p>
      <w:pPr>
        <w:pStyle w:val="7"/>
        <w:numPr>
          <w:ilvl w:val="0"/>
          <w:numId w:val="1"/>
        </w:numPr>
        <w:spacing w:line="600" w:lineRule="exact"/>
        <w:ind w:firstLineChars="0"/>
        <w:rPr>
          <w:rFonts w:ascii="Times New Roman" w:hAnsi="Times New Roman" w:eastAsia="黑体" w:cs="Times New Roman"/>
          <w:sz w:val="32"/>
          <w:szCs w:val="32"/>
        </w:rPr>
      </w:pPr>
      <w:r>
        <w:rPr>
          <w:rFonts w:ascii="Times New Roman" w:hAnsi="Times New Roman" w:eastAsia="黑体" w:cs="Times New Roman"/>
          <w:sz w:val="32"/>
          <w:szCs w:val="32"/>
        </w:rPr>
        <w:t>绩效目标分解下达情况</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2022年8月份，宁夏回族自治区财政厅、生态环境厅以宁财（资环）指标〔2022〕394号文件下达2022年环境质量和污染物排放总量考核奖补资金预算指标21770万元，涉及全区20个市、县（区），下达资金指标时要求15日内报备资金使用方案，要求资金使用方案要细化到具体项目（详见表1）。</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表1  2022年大气和水污染防治及生态补偿资金绩效目标分解情况</w:t>
      </w:r>
    </w:p>
    <w:tbl>
      <w:tblPr>
        <w:tblStyle w:val="5"/>
        <w:tblW w:w="518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3"/>
        <w:gridCol w:w="1063"/>
        <w:gridCol w:w="2485"/>
        <w:gridCol w:w="3621"/>
        <w:gridCol w:w="14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89" w:type="pct"/>
            <w:tcBorders>
              <w:top w:val="single" w:color="auto" w:sz="12" w:space="0"/>
              <w:bottom w:val="single" w:color="auto" w:sz="6"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序号</w:t>
            </w:r>
          </w:p>
        </w:tc>
        <w:tc>
          <w:tcPr>
            <w:tcW w:w="572" w:type="pct"/>
            <w:tcBorders>
              <w:top w:val="single" w:color="auto" w:sz="12" w:space="0"/>
              <w:bottom w:val="single" w:color="auto" w:sz="6"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市县名称</w:t>
            </w:r>
          </w:p>
        </w:tc>
        <w:tc>
          <w:tcPr>
            <w:tcW w:w="1337" w:type="pct"/>
            <w:tcBorders>
              <w:top w:val="single" w:color="auto" w:sz="12" w:space="0"/>
              <w:bottom w:val="single" w:color="auto" w:sz="6"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项目名称</w:t>
            </w:r>
          </w:p>
        </w:tc>
        <w:tc>
          <w:tcPr>
            <w:tcW w:w="1946" w:type="pct"/>
            <w:tcBorders>
              <w:top w:val="single" w:color="auto" w:sz="12" w:space="0"/>
              <w:bottom w:val="single" w:color="auto" w:sz="6"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项目绩效</w:t>
            </w:r>
          </w:p>
        </w:tc>
        <w:tc>
          <w:tcPr>
            <w:tcW w:w="753" w:type="pct"/>
            <w:tcBorders>
              <w:top w:val="single" w:color="auto" w:sz="12" w:space="0"/>
              <w:bottom w:val="single" w:color="auto" w:sz="6" w:space="0"/>
            </w:tcBorders>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补助资金</w:t>
            </w:r>
          </w:p>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Borders>
              <w:bottom w:val="single" w:color="auto" w:sz="4"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w:t>
            </w:r>
          </w:p>
        </w:tc>
        <w:tc>
          <w:tcPr>
            <w:tcW w:w="572" w:type="pct"/>
            <w:tcBorders>
              <w:bottom w:val="single" w:color="auto" w:sz="4" w:space="0"/>
            </w:tcBorders>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银川市</w:t>
            </w:r>
          </w:p>
        </w:tc>
        <w:tc>
          <w:tcPr>
            <w:tcW w:w="1337" w:type="pct"/>
            <w:tcBorders>
              <w:bottom w:val="single" w:color="auto" w:sz="4" w:space="0"/>
            </w:tcBorders>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银川市大气和水污染防治及生态补偿奖补资金</w:t>
            </w:r>
          </w:p>
        </w:tc>
        <w:tc>
          <w:tcPr>
            <w:tcW w:w="1946" w:type="pct"/>
            <w:tcMar>
              <w:top w:w="15" w:type="dxa"/>
              <w:left w:w="15" w:type="dxa"/>
              <w:bottom w:w="15" w:type="dxa"/>
              <w:right w:w="15" w:type="dxa"/>
            </w:tcMar>
            <w:vAlign w:val="center"/>
          </w:tcPr>
          <w:p>
            <w:pPr>
              <w:adjustRightInd w:val="0"/>
              <w:snapToGrid w:val="0"/>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1326.00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Borders>
              <w:top w:val="single" w:color="auto" w:sz="4"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2</w:t>
            </w:r>
          </w:p>
        </w:tc>
        <w:tc>
          <w:tcPr>
            <w:tcW w:w="572" w:type="pct"/>
            <w:tcBorders>
              <w:top w:val="single" w:color="auto" w:sz="4" w:space="0"/>
            </w:tcBorders>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永宁县</w:t>
            </w:r>
          </w:p>
        </w:tc>
        <w:tc>
          <w:tcPr>
            <w:tcW w:w="1337" w:type="pct"/>
            <w:tcBorders>
              <w:top w:val="single" w:color="auto" w:sz="4" w:space="0"/>
            </w:tcBorders>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永宁县大气和水污染防治及生态补偿奖补资金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884.00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3</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贺兰县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贺兰县大气和水污染防治及生态补偿奖补资金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884.00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4</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灵武市</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灵武市大气和水污染防治及生态补偿奖补资金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884.00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5</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石嘴山市</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石嘴山市大气和水污染防治及生态补偿奖补资金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1486.00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6</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平罗县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平罗县大气和水污染防治及生态补偿奖补资金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884.00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7</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吴忠市</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吴忠市大气和水污染防治及生态补偿奖补资金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1326.00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8</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红寺堡区</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红寺堡区大气和水污染防治及生态补偿奖补资金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1167.00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9</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青铜峡市</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青铜峡市大气和水污染防治及生态补偿奖补资金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884.00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10</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盐池县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盐池县大气和水污染防治及生态补偿奖补资金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884.00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11</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同心县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同心县大气和水污染防治及生态补偿奖补资金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884.00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12</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固原市</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固原市大气和水污染防治及生态补偿奖补资金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1326.00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13</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西吉县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西吉县大气和水污染防治及生态补偿奖补资金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884.00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14</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隆德县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隆德县大气和水污染防治及生态补偿奖补资金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1203.00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15</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泾源县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泾源县大气和水污染防治及生态补偿奖补资金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1067.00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16</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彭阳县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彭阳县大气和水污染防治及生态补偿奖补资金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884.00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17</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中卫市</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中卫市大气和水污染防治及生态补偿奖补资金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1115.00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18</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中宁县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中宁县大气和水污染防治及生态补偿奖补资金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11156.00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19</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海原县</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海原县大气和水污染防治及生态补偿奖补资金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1316.00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9" w:type="pct"/>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sz w:val="22"/>
              </w:rPr>
            </w:pPr>
            <w:r>
              <w:rPr>
                <w:rFonts w:ascii="Times New Roman" w:hAnsi="Times New Roman" w:eastAsia="宋体" w:cs="Times New Roman"/>
                <w:sz w:val="22"/>
              </w:rPr>
              <w:t>20</w:t>
            </w:r>
          </w:p>
        </w:tc>
        <w:tc>
          <w:tcPr>
            <w:tcW w:w="572"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宁东能源化工基地</w:t>
            </w:r>
          </w:p>
        </w:tc>
        <w:tc>
          <w:tcPr>
            <w:tcW w:w="1337" w:type="pct"/>
            <w:tcMar>
              <w:top w:w="15" w:type="dxa"/>
              <w:left w:w="15" w:type="dxa"/>
              <w:bottom w:w="15" w:type="dxa"/>
              <w:right w:w="15" w:type="dxa"/>
            </w:tcMar>
            <w:vAlign w:val="center"/>
          </w:tcPr>
          <w:p>
            <w:pPr>
              <w:spacing w:line="280" w:lineRule="exact"/>
              <w:jc w:val="center"/>
              <w:rPr>
                <w:rFonts w:ascii="Times New Roman" w:hAnsi="Times New Roman" w:eastAsia="宋体" w:cs="Times New Roman"/>
                <w:sz w:val="22"/>
              </w:rPr>
            </w:pPr>
            <w:r>
              <w:rPr>
                <w:rFonts w:ascii="Times New Roman" w:hAnsi="Times New Roman" w:eastAsia="宋体" w:cs="Times New Roman"/>
                <w:sz w:val="22"/>
              </w:rPr>
              <w:t>宁东能源化工基地大气和水污染防治及生态补偿奖补资金</w:t>
            </w:r>
          </w:p>
        </w:tc>
        <w:tc>
          <w:tcPr>
            <w:tcW w:w="1946" w:type="pct"/>
            <w:tcMar>
              <w:top w:w="15" w:type="dxa"/>
              <w:left w:w="15" w:type="dxa"/>
              <w:bottom w:w="15" w:type="dxa"/>
              <w:right w:w="15" w:type="dxa"/>
            </w:tcMar>
            <w:vAlign w:val="center"/>
          </w:tcPr>
          <w:p>
            <w:pPr>
              <w:spacing w:line="280" w:lineRule="exact"/>
              <w:jc w:val="left"/>
              <w:rPr>
                <w:rFonts w:ascii="Times New Roman" w:hAnsi="Times New Roman" w:eastAsia="宋体" w:cs="Times New Roman"/>
                <w:sz w:val="22"/>
              </w:rPr>
            </w:pPr>
            <w:r>
              <w:rPr>
                <w:rFonts w:ascii="Times New Roman" w:hAnsi="Times New Roman" w:eastAsia="宋体" w:cs="Times New Roman"/>
                <w:sz w:val="22"/>
              </w:rPr>
              <w:t>按资金类别统筹用于大气、水污染治理和生态补偿。</w:t>
            </w:r>
          </w:p>
        </w:tc>
        <w:tc>
          <w:tcPr>
            <w:tcW w:w="1401" w:type="dxa"/>
            <w:vAlign w:val="center"/>
          </w:tcPr>
          <w:p>
            <w:pPr>
              <w:widowControl/>
              <w:spacing w:line="28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1326.00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246" w:type="pct"/>
            <w:gridSpan w:val="4"/>
            <w:tcBorders>
              <w:top w:val="single" w:color="auto" w:sz="4" w:space="0"/>
            </w:tcBorders>
            <w:tcMar>
              <w:top w:w="15" w:type="dxa"/>
              <w:left w:w="15" w:type="dxa"/>
              <w:bottom w:w="15" w:type="dxa"/>
              <w:right w:w="15" w:type="dxa"/>
            </w:tcMar>
            <w:vAlign w:val="center"/>
          </w:tcPr>
          <w:p>
            <w:pPr>
              <w:spacing w:line="280" w:lineRule="exact"/>
              <w:jc w:val="center"/>
              <w:rPr>
                <w:rFonts w:ascii="Times New Roman" w:hAnsi="Times New Roman" w:eastAsia="宋体" w:cs="Times New Roman"/>
                <w:b/>
                <w:color w:val="000000"/>
                <w:sz w:val="22"/>
              </w:rPr>
            </w:pPr>
            <w:r>
              <w:rPr>
                <w:rFonts w:ascii="Times New Roman" w:hAnsi="Times New Roman" w:eastAsia="宋体" w:cs="Times New Roman"/>
                <w:b/>
                <w:color w:val="000000"/>
                <w:sz w:val="22"/>
              </w:rPr>
              <w:t>资金合计</w:t>
            </w:r>
          </w:p>
        </w:tc>
        <w:tc>
          <w:tcPr>
            <w:tcW w:w="753" w:type="pct"/>
            <w:tcBorders>
              <w:top w:val="single" w:color="auto" w:sz="4" w:space="0"/>
            </w:tcBorders>
            <w:vAlign w:val="center"/>
          </w:tcPr>
          <w:p>
            <w:pPr>
              <w:spacing w:line="280" w:lineRule="exact"/>
              <w:jc w:val="center"/>
              <w:rPr>
                <w:rFonts w:ascii="Times New Roman" w:hAnsi="Times New Roman" w:eastAsia="宋体" w:cs="Times New Roman"/>
                <w:b/>
                <w:szCs w:val="21"/>
              </w:rPr>
            </w:pPr>
            <w:r>
              <w:rPr>
                <w:rFonts w:ascii="Times New Roman" w:hAnsi="Times New Roman" w:eastAsia="宋体" w:cs="Times New Roman"/>
                <w:b/>
                <w:szCs w:val="21"/>
              </w:rPr>
              <w:t>21770.00</w:t>
            </w:r>
          </w:p>
        </w:tc>
      </w:tr>
    </w:tbl>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二、绩效目标完成情况分析</w:t>
      </w:r>
    </w:p>
    <w:p>
      <w:pPr>
        <w:spacing w:line="600" w:lineRule="exact"/>
        <w:ind w:firstLine="645"/>
        <w:rPr>
          <w:rFonts w:ascii="Times New Roman" w:hAnsi="Times New Roman" w:eastAsia="楷体_GB2312" w:cs="Times New Roman"/>
          <w:b/>
          <w:sz w:val="32"/>
          <w:szCs w:val="32"/>
        </w:rPr>
      </w:pPr>
      <w:r>
        <w:rPr>
          <w:rFonts w:ascii="Times New Roman" w:hAnsi="Times New Roman" w:eastAsia="楷体_GB2312" w:cs="Times New Roman"/>
          <w:b/>
          <w:sz w:val="32"/>
          <w:szCs w:val="32"/>
        </w:rPr>
        <w:t>（一）资金投入情况分析</w:t>
      </w:r>
    </w:p>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rPr>
        <w:t>1.项目资金到位情况分析</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截止2022年12月31日，依照申报程序确定实施的2022年大气和水污染防治及生态补偿资金20000万元已全部拨付各市、县（区），资金拨付率100%，实际资金到位率为100%。</w:t>
      </w:r>
    </w:p>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rPr>
        <w:t>2.项目资金执行情况分析</w:t>
      </w:r>
    </w:p>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sz w:val="32"/>
          <w:szCs w:val="32"/>
        </w:rPr>
        <w:t>截止2022年12月31日，2021年大气和水污染防治及生态补偿资金预算执行率为49.2%（详见表2）。</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表2   2022年大气和水污染防治及生态补偿资金执行情况</w:t>
      </w:r>
    </w:p>
    <w:tbl>
      <w:tblPr>
        <w:tblStyle w:val="5"/>
        <w:tblW w:w="5136" w:type="pct"/>
        <w:tblInd w:w="0" w:type="dxa"/>
        <w:tblLayout w:type="autofit"/>
        <w:tblCellMar>
          <w:top w:w="0" w:type="dxa"/>
          <w:left w:w="108" w:type="dxa"/>
          <w:bottom w:w="0" w:type="dxa"/>
          <w:right w:w="108" w:type="dxa"/>
        </w:tblCellMar>
      </w:tblPr>
      <w:tblGrid>
        <w:gridCol w:w="449"/>
        <w:gridCol w:w="2747"/>
        <w:gridCol w:w="1278"/>
        <w:gridCol w:w="1207"/>
        <w:gridCol w:w="1238"/>
        <w:gridCol w:w="1238"/>
        <w:gridCol w:w="1149"/>
      </w:tblGrid>
      <w:tr>
        <w:tblPrEx>
          <w:tblCellMar>
            <w:top w:w="0" w:type="dxa"/>
            <w:left w:w="108" w:type="dxa"/>
            <w:bottom w:w="0" w:type="dxa"/>
            <w:right w:w="108" w:type="dxa"/>
          </w:tblCellMar>
        </w:tblPrEx>
        <w:trPr>
          <w:trHeight w:val="840" w:hRule="atLeast"/>
          <w:tblHeader/>
        </w:trPr>
        <w:tc>
          <w:tcPr>
            <w:tcW w:w="241" w:type="pct"/>
            <w:tcBorders>
              <w:top w:val="single" w:color="auto" w:sz="12" w:space="0"/>
              <w:left w:val="single" w:color="auto" w:sz="12" w:space="0"/>
              <w:bottom w:val="single" w:color="auto" w:sz="4" w:space="0"/>
              <w:right w:val="single" w:color="auto" w:sz="4" w:space="0"/>
            </w:tcBorders>
            <w:shd w:val="clear" w:color="auto" w:fill="auto"/>
            <w:vAlign w:val="center"/>
          </w:tcPr>
          <w:p>
            <w:pPr>
              <w:adjustRightInd w:val="0"/>
              <w:snapToGrid w:val="0"/>
              <w:spacing w:line="260" w:lineRule="exact"/>
              <w:jc w:val="center"/>
              <w:rPr>
                <w:rFonts w:ascii="Times New Roman" w:hAnsi="Times New Roman" w:eastAsia="宋体" w:cs="Times New Roman"/>
                <w:b/>
                <w:bCs/>
                <w:sz w:val="22"/>
              </w:rPr>
            </w:pPr>
            <w:r>
              <w:rPr>
                <w:rFonts w:ascii="Times New Roman" w:hAnsi="Times New Roman" w:eastAsia="宋体" w:cs="Times New Roman"/>
                <w:b/>
                <w:bCs/>
                <w:sz w:val="22"/>
              </w:rPr>
              <w:t>序号</w:t>
            </w:r>
          </w:p>
        </w:tc>
        <w:tc>
          <w:tcPr>
            <w:tcW w:w="1475"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spacing w:line="260" w:lineRule="exact"/>
              <w:jc w:val="center"/>
              <w:rPr>
                <w:rFonts w:ascii="Times New Roman" w:hAnsi="Times New Roman" w:eastAsia="宋体" w:cs="Times New Roman"/>
                <w:b/>
                <w:bCs/>
                <w:sz w:val="22"/>
              </w:rPr>
            </w:pPr>
            <w:r>
              <w:rPr>
                <w:rFonts w:ascii="Times New Roman" w:hAnsi="Times New Roman" w:eastAsia="宋体" w:cs="Times New Roman"/>
                <w:b/>
                <w:bCs/>
                <w:sz w:val="22"/>
              </w:rPr>
              <w:t>项目名称</w:t>
            </w:r>
          </w:p>
        </w:tc>
        <w:tc>
          <w:tcPr>
            <w:tcW w:w="686"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spacing w:line="260" w:lineRule="exact"/>
              <w:jc w:val="center"/>
              <w:rPr>
                <w:rFonts w:ascii="Times New Roman" w:hAnsi="Times New Roman" w:eastAsia="宋体" w:cs="Times New Roman"/>
                <w:b/>
                <w:bCs/>
                <w:sz w:val="22"/>
              </w:rPr>
            </w:pPr>
            <w:r>
              <w:rPr>
                <w:rFonts w:ascii="Times New Roman" w:hAnsi="Times New Roman" w:eastAsia="宋体" w:cs="Times New Roman"/>
                <w:b/>
                <w:bCs/>
                <w:sz w:val="22"/>
              </w:rPr>
              <w:t>自治区专项资金（万元）</w:t>
            </w:r>
          </w:p>
        </w:tc>
        <w:tc>
          <w:tcPr>
            <w:tcW w:w="648"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spacing w:line="260" w:lineRule="exact"/>
              <w:jc w:val="center"/>
              <w:rPr>
                <w:rFonts w:ascii="Times New Roman" w:hAnsi="Times New Roman" w:eastAsia="宋体" w:cs="Times New Roman"/>
                <w:b/>
                <w:bCs/>
                <w:sz w:val="22"/>
              </w:rPr>
            </w:pPr>
            <w:r>
              <w:rPr>
                <w:rFonts w:ascii="Times New Roman" w:hAnsi="Times New Roman" w:eastAsia="宋体" w:cs="Times New Roman"/>
                <w:b/>
                <w:bCs/>
                <w:sz w:val="22"/>
              </w:rPr>
              <w:t>地方配套资金（万元）</w:t>
            </w:r>
          </w:p>
        </w:tc>
        <w:tc>
          <w:tcPr>
            <w:tcW w:w="665"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spacing w:line="260" w:lineRule="exact"/>
              <w:jc w:val="center"/>
              <w:rPr>
                <w:rFonts w:ascii="Times New Roman" w:hAnsi="Times New Roman" w:eastAsia="宋体" w:cs="Times New Roman"/>
                <w:b/>
                <w:bCs/>
                <w:sz w:val="22"/>
              </w:rPr>
            </w:pPr>
            <w:r>
              <w:rPr>
                <w:rFonts w:ascii="Times New Roman" w:hAnsi="Times New Roman" w:eastAsia="宋体" w:cs="Times New Roman"/>
                <w:b/>
                <w:bCs/>
                <w:sz w:val="22"/>
              </w:rPr>
              <w:t>全年执行数（万元）</w:t>
            </w:r>
          </w:p>
        </w:tc>
        <w:tc>
          <w:tcPr>
            <w:tcW w:w="665"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spacing w:line="260" w:lineRule="exact"/>
              <w:jc w:val="center"/>
              <w:rPr>
                <w:rFonts w:ascii="Times New Roman" w:hAnsi="Times New Roman" w:eastAsia="宋体" w:cs="Times New Roman"/>
                <w:b/>
                <w:bCs/>
                <w:sz w:val="22"/>
              </w:rPr>
            </w:pPr>
            <w:r>
              <w:rPr>
                <w:rFonts w:ascii="Times New Roman" w:hAnsi="Times New Roman" w:eastAsia="宋体" w:cs="Times New Roman"/>
                <w:b/>
                <w:bCs/>
                <w:sz w:val="22"/>
              </w:rPr>
              <w:t>自治区资金执行数（万元）</w:t>
            </w:r>
          </w:p>
        </w:tc>
        <w:tc>
          <w:tcPr>
            <w:tcW w:w="617" w:type="pct"/>
            <w:tcBorders>
              <w:top w:val="single" w:color="auto" w:sz="12" w:space="0"/>
              <w:left w:val="nil"/>
              <w:bottom w:val="single" w:color="auto" w:sz="4" w:space="0"/>
              <w:right w:val="single" w:color="auto" w:sz="12" w:space="0"/>
            </w:tcBorders>
            <w:shd w:val="clear" w:color="auto" w:fill="auto"/>
            <w:vAlign w:val="center"/>
          </w:tcPr>
          <w:p>
            <w:pPr>
              <w:adjustRightInd w:val="0"/>
              <w:snapToGrid w:val="0"/>
              <w:spacing w:line="260" w:lineRule="exact"/>
              <w:jc w:val="center"/>
              <w:rPr>
                <w:rFonts w:ascii="Times New Roman" w:hAnsi="Times New Roman" w:eastAsia="宋体" w:cs="Times New Roman"/>
                <w:b/>
                <w:bCs/>
                <w:sz w:val="22"/>
              </w:rPr>
            </w:pPr>
            <w:r>
              <w:rPr>
                <w:rFonts w:ascii="Times New Roman" w:hAnsi="Times New Roman" w:eastAsia="宋体" w:cs="Times New Roman"/>
                <w:b/>
                <w:bCs/>
                <w:sz w:val="22"/>
              </w:rPr>
              <w:t>自治区资金执行率</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银川市大气和水污染防治及生态补偿奖补资金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1326.00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永宁县大气和水污染防治及生态补偿奖补资金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884.00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230.35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230.35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26.06%</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3</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贺兰县大气和水污染防治及生态补偿奖补资金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884.00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4</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灵武市大气和水污染防治及生态补偿奖补资金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884.00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5</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石嘴山市大气和水污染防治及生态补偿奖补资金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1486.00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860.66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860.66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57.92%</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6</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平罗县大气和水污染防治及生态补偿奖补资金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884.00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494.10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494.10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55.89%</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7</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吴忠市大气和水污染防治及生态补偿奖补资金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1326.00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383.26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383.26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28.90%</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8</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红寺堡区大气和水污染防治及生态补偿奖补资金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1167.00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350.00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350.00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29.99%</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9</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青铜峡市大气和水污染防治及生态补偿奖补资金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884.00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40.00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4.52%</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盐池县大气和水污染防治及生态补偿奖补资金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884.00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884.00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884.00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11</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同心县大气和水污染防治及生态补偿奖补资金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884.00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76.28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76.28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8.63%</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12</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固原市大气和水污染防治及生态补偿奖补资金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1326.00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1326.00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1326.00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13</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西吉县大气和水污染防治及生态补偿奖补资金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884.00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444.00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444.00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50.23%</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14</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隆德县大气和水污染防治及生态补偿奖补资金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1203.00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1203.00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1203.00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15</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泾源县大气和水污染防治及生态补偿奖补资金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1067.00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406.00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406.00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38.05%</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16</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彭阳县大气和水污染防治及生态补偿奖补资金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884.00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884.00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884.00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17</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中卫市大气和水污染防治及生态补偿奖补资金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1115.00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49" w:type="dxa"/>
            <w:tcBorders>
              <w:top w:val="nil"/>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18</w:t>
            </w:r>
          </w:p>
        </w:tc>
        <w:tc>
          <w:tcPr>
            <w:tcW w:w="2747" w:type="dxa"/>
            <w:tcBorders>
              <w:top w:val="nil"/>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中宁县大气和水污染防治及生态补偿奖补资金</w:t>
            </w:r>
          </w:p>
        </w:tc>
        <w:tc>
          <w:tcPr>
            <w:tcW w:w="127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1156.00 </w:t>
            </w:r>
          </w:p>
        </w:tc>
        <w:tc>
          <w:tcPr>
            <w:tcW w:w="1207"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1156.00 </w:t>
            </w:r>
          </w:p>
        </w:tc>
        <w:tc>
          <w:tcPr>
            <w:tcW w:w="1238" w:type="dxa"/>
            <w:tcBorders>
              <w:top w:val="nil"/>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1156.00 </w:t>
            </w:r>
          </w:p>
        </w:tc>
        <w:tc>
          <w:tcPr>
            <w:tcW w:w="1149" w:type="dxa"/>
            <w:tcBorders>
              <w:top w:val="nil"/>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4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19</w:t>
            </w:r>
          </w:p>
        </w:tc>
        <w:tc>
          <w:tcPr>
            <w:tcW w:w="2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海原县大气和水污染防治及生态补偿奖补资金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1316.00 </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648.00 </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648.00 </w:t>
            </w:r>
          </w:p>
        </w:tc>
        <w:tc>
          <w:tcPr>
            <w:tcW w:w="1149"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49.24%</w:t>
            </w:r>
          </w:p>
        </w:tc>
      </w:tr>
      <w:tr>
        <w:tblPrEx>
          <w:tblCellMar>
            <w:top w:w="0" w:type="dxa"/>
            <w:left w:w="108" w:type="dxa"/>
            <w:bottom w:w="0" w:type="dxa"/>
            <w:right w:w="108" w:type="dxa"/>
          </w:tblCellMar>
        </w:tblPrEx>
        <w:trPr>
          <w:trHeight w:val="560" w:hRule="atLeast"/>
        </w:trPr>
        <w:tc>
          <w:tcPr>
            <w:tcW w:w="44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20</w:t>
            </w:r>
          </w:p>
        </w:tc>
        <w:tc>
          <w:tcPr>
            <w:tcW w:w="27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宁东能源化工基地大气和水污染防治及生态补偿奖补资金</w:t>
            </w:r>
          </w:p>
        </w:tc>
        <w:tc>
          <w:tcPr>
            <w:tcW w:w="127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Times New Roman" w:cs="Times New Roman"/>
                <w:color w:val="000000"/>
                <w:sz w:val="22"/>
                <w:szCs w:val="24"/>
              </w:rPr>
            </w:pPr>
            <w:r>
              <w:rPr>
                <w:rFonts w:ascii="Times New Roman" w:hAnsi="Times New Roman" w:eastAsia="宋体" w:cs="Times New Roman"/>
                <w:color w:val="000000"/>
                <w:kern w:val="0"/>
                <w:sz w:val="22"/>
                <w:lang w:bidi="ar"/>
              </w:rPr>
              <w:t xml:space="preserve">1326.00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3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1326.00 </w:t>
            </w:r>
          </w:p>
        </w:tc>
        <w:tc>
          <w:tcPr>
            <w:tcW w:w="123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1326.00 </w:t>
            </w:r>
          </w:p>
        </w:tc>
        <w:tc>
          <w:tcPr>
            <w:tcW w:w="1149" w:type="dxa"/>
            <w:tcBorders>
              <w:top w:val="single" w:color="auto" w:sz="4" w:space="0"/>
              <w:left w:val="nil"/>
              <w:bottom w:val="single" w:color="auto" w:sz="4"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280" w:hRule="atLeast"/>
        </w:trPr>
        <w:tc>
          <w:tcPr>
            <w:tcW w:w="3196"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合计</w:t>
            </w:r>
          </w:p>
        </w:tc>
        <w:tc>
          <w:tcPr>
            <w:tcW w:w="1278" w:type="dxa"/>
            <w:tcBorders>
              <w:top w:val="nil"/>
              <w:left w:val="nil"/>
              <w:bottom w:val="single" w:color="auto" w:sz="12"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 xml:space="preserve">21770.00 </w:t>
            </w:r>
          </w:p>
        </w:tc>
        <w:tc>
          <w:tcPr>
            <w:tcW w:w="1207" w:type="dxa"/>
            <w:tcBorders>
              <w:top w:val="nil"/>
              <w:left w:val="nil"/>
              <w:bottom w:val="single" w:color="auto" w:sz="12"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 xml:space="preserve">0.00 </w:t>
            </w:r>
          </w:p>
        </w:tc>
        <w:tc>
          <w:tcPr>
            <w:tcW w:w="1238" w:type="dxa"/>
            <w:tcBorders>
              <w:top w:val="nil"/>
              <w:left w:val="nil"/>
              <w:bottom w:val="single" w:color="auto" w:sz="12"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 xml:space="preserve">10711.65 </w:t>
            </w:r>
          </w:p>
        </w:tc>
        <w:tc>
          <w:tcPr>
            <w:tcW w:w="1238" w:type="dxa"/>
            <w:tcBorders>
              <w:top w:val="nil"/>
              <w:left w:val="nil"/>
              <w:bottom w:val="single" w:color="auto" w:sz="12" w:space="0"/>
              <w:right w:val="single" w:color="auto" w:sz="4" w:space="0"/>
            </w:tcBorders>
            <w:shd w:val="clear" w:color="auto" w:fill="auto"/>
            <w:vAlign w:val="center"/>
          </w:tcPr>
          <w:p>
            <w:pPr>
              <w:widowControl/>
              <w:spacing w:line="260" w:lineRule="exact"/>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 xml:space="preserve">10711.65 </w:t>
            </w:r>
          </w:p>
        </w:tc>
        <w:tc>
          <w:tcPr>
            <w:tcW w:w="1149" w:type="dxa"/>
            <w:tcBorders>
              <w:top w:val="nil"/>
              <w:left w:val="nil"/>
              <w:bottom w:val="single" w:color="auto" w:sz="12" w:space="0"/>
              <w:right w:val="single" w:color="auto" w:sz="12" w:space="0"/>
            </w:tcBorders>
            <w:shd w:val="clear" w:color="auto" w:fill="auto"/>
            <w:vAlign w:val="center"/>
          </w:tcPr>
          <w:p>
            <w:pPr>
              <w:widowControl/>
              <w:spacing w:line="260" w:lineRule="exact"/>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49.20%</w:t>
            </w:r>
          </w:p>
        </w:tc>
      </w:tr>
    </w:tbl>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3.项目资金管理情况分析</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在项目资金管理上，基本上符合</w:t>
      </w:r>
      <w:r>
        <w:rPr>
          <w:rFonts w:hint="eastAsia" w:ascii="Times New Roman" w:hAnsi="Times New Roman" w:eastAsia="仿宋_GB2312" w:cs="Times New Roman"/>
          <w:sz w:val="32"/>
          <w:szCs w:val="32"/>
        </w:rPr>
        <w:t>宁财（资环）指标〔</w:t>
      </w:r>
      <w:r>
        <w:rPr>
          <w:rFonts w:ascii="Times New Roman" w:hAnsi="Times New Roman" w:eastAsia="仿宋_GB2312" w:cs="Times New Roman"/>
          <w:sz w:val="32"/>
          <w:szCs w:val="32"/>
        </w:rPr>
        <w:t>2022〕394号</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和自治区关于专项资金管理的相关要求，项目实施单位建立了一定的内控管理制度，资金支付合理合规，但是部分市县未全额拨付兑现奖补资金，对处罚资金相应地从奖补资金中予以扣减，加之预算执行进度缓慢影响了项目实施绩效。</w:t>
      </w:r>
    </w:p>
    <w:p>
      <w:pPr>
        <w:spacing w:line="600" w:lineRule="exact"/>
        <w:ind w:firstLine="645"/>
        <w:rPr>
          <w:rFonts w:ascii="Times New Roman" w:hAnsi="Times New Roman" w:eastAsia="楷体_GB2312" w:cs="Times New Roman"/>
          <w:b/>
          <w:sz w:val="32"/>
          <w:szCs w:val="32"/>
        </w:rPr>
      </w:pPr>
      <w:r>
        <w:rPr>
          <w:rFonts w:ascii="Times New Roman" w:hAnsi="Times New Roman" w:eastAsia="楷体_GB2312" w:cs="Times New Roman"/>
          <w:b/>
          <w:sz w:val="32"/>
          <w:szCs w:val="32"/>
        </w:rPr>
        <w:t>（二）绩效目标完成情况分析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本项目绩效自评得分为各子项目绩效自评得分的算术平均数，最终得分为86.20分，各子项目绩效目标自评得分如下：</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表3   2021年大气和水污染防治及生态补偿资金自评得分情况</w:t>
      </w:r>
    </w:p>
    <w:tbl>
      <w:tblPr>
        <w:tblStyle w:val="5"/>
        <w:tblW w:w="8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3119"/>
        <w:gridCol w:w="1843"/>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b/>
                <w:bCs/>
                <w:sz w:val="22"/>
              </w:rPr>
              <w:t>序号</w:t>
            </w:r>
          </w:p>
        </w:tc>
        <w:tc>
          <w:tcPr>
            <w:tcW w:w="3119"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b/>
                <w:bCs/>
                <w:sz w:val="22"/>
              </w:rPr>
              <w:t>项目名称</w:t>
            </w:r>
          </w:p>
        </w:tc>
        <w:tc>
          <w:tcPr>
            <w:tcW w:w="1843"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自评得分</w:t>
            </w:r>
          </w:p>
        </w:tc>
        <w:tc>
          <w:tcPr>
            <w:tcW w:w="2551" w:type="dxa"/>
            <w:tcBorders>
              <w:top w:val="single" w:color="auto" w:sz="12" w:space="0"/>
              <w:bottom w:val="single" w:color="auto" w:sz="6" w:space="0"/>
            </w:tcBorders>
            <w:tcMar>
              <w:top w:w="15" w:type="dxa"/>
              <w:left w:w="15" w:type="dxa"/>
              <w:bottom w:w="15" w:type="dxa"/>
              <w:right w:w="15" w:type="dxa"/>
            </w:tcMar>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银川市大气和水污染防治及生态补偿奖补资金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2</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永宁县大气和水污染防治及生态补偿奖补资金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95</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3</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贺兰县大气和水污染防治及生态补偿奖补资金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4</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灵武市大气和水污染防治及生态补偿奖补资金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5</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石嘴山市大气和水污染防治及生态补偿奖补资金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85</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6</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平罗县大气和水污染防治及生态补偿奖补资金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80</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7</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吴忠市大气和水污染防治及生态补偿奖补资金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96</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8</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红寺堡区大气和水污染防治及生态补偿奖补资金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95</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9</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青铜峡市大气和水污染防治及生态补偿奖补资金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10</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盐池县大气和水污染防治及生态补偿奖补资金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99</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11</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同心县大气和水污染防治及生态补偿奖补资金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91</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12</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固原市大气和水污染防治及生态补偿奖补资金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13</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西吉县大气和水污染防治及生态补偿奖补资金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14</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隆德县大气和水污染防治及生态补偿奖补资金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95</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15</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泾源县大气和水污染防治及生态补偿奖补资金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85</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16</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彭阳县大气和水污染防治及生态补偿奖补资金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96</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17</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中卫市大气和水污染防治及生态补偿奖补资金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0</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18</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中宁县大气和水污染防治及生态补偿奖补资金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97</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19</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海原县大气和水污染防治及生态补偿奖补资金</w:t>
            </w:r>
          </w:p>
        </w:tc>
        <w:tc>
          <w:tcPr>
            <w:tcW w:w="1843" w:type="dxa"/>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75</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sz w:val="22"/>
              </w:rPr>
              <w:t>20</w:t>
            </w:r>
          </w:p>
        </w:tc>
        <w:tc>
          <w:tcPr>
            <w:tcW w:w="3119" w:type="dxa"/>
            <w:vAlign w:val="center"/>
          </w:tcPr>
          <w:p>
            <w:pPr>
              <w:rPr>
                <w:rFonts w:ascii="Times New Roman" w:hAnsi="Times New Roman" w:eastAsia="宋体" w:cs="Times New Roman"/>
                <w:sz w:val="22"/>
              </w:rPr>
            </w:pPr>
            <w:r>
              <w:rPr>
                <w:rFonts w:ascii="Times New Roman" w:hAnsi="Times New Roman" w:eastAsia="宋体" w:cs="Times New Roman"/>
                <w:sz w:val="22"/>
              </w:rPr>
              <w:t>宁东能源化工基地大气和水污染防治及生态补偿奖补资金</w:t>
            </w:r>
          </w:p>
        </w:tc>
        <w:tc>
          <w:tcPr>
            <w:tcW w:w="1843" w:type="dxa"/>
            <w:tcBorders>
              <w:bottom w:val="single" w:color="auto"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95</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71" w:type="dxa"/>
            <w:gridSpan w:val="2"/>
            <w:vAlign w:val="center"/>
          </w:tcPr>
          <w:p>
            <w:pPr>
              <w:jc w:val="center"/>
              <w:rPr>
                <w:rFonts w:ascii="Times New Roman" w:hAnsi="Times New Roman" w:eastAsia="宋体" w:cs="Times New Roman"/>
                <w:b/>
                <w:sz w:val="22"/>
              </w:rPr>
            </w:pPr>
            <w:r>
              <w:rPr>
                <w:rFonts w:ascii="Times New Roman" w:hAnsi="Times New Roman" w:eastAsia="宋体" w:cs="Times New Roman"/>
                <w:b/>
                <w:sz w:val="22"/>
              </w:rPr>
              <w:t>平均得分</w:t>
            </w:r>
          </w:p>
        </w:tc>
        <w:tc>
          <w:tcPr>
            <w:tcW w:w="1843" w:type="dxa"/>
            <w:vAlign w:val="center"/>
          </w:tcPr>
          <w:p>
            <w:pPr>
              <w:widowControl/>
              <w:jc w:val="center"/>
              <w:textAlignment w:val="center"/>
              <w:rPr>
                <w:rFonts w:ascii="Times New Roman" w:hAnsi="Times New Roman" w:eastAsia="宋体" w:cs="Times New Roman"/>
                <w:b/>
                <w:sz w:val="22"/>
                <w:highlight w:val="yellow"/>
              </w:rPr>
            </w:pPr>
            <w:r>
              <w:rPr>
                <w:rFonts w:ascii="Times New Roman" w:hAnsi="Times New Roman" w:eastAsia="宋体" w:cs="Times New Roman"/>
                <w:b/>
                <w:color w:val="000000"/>
                <w:kern w:val="0"/>
                <w:sz w:val="22"/>
                <w:lang w:bidi="ar"/>
              </w:rPr>
              <w:t>86.2</w:t>
            </w:r>
          </w:p>
        </w:tc>
        <w:tc>
          <w:tcPr>
            <w:tcW w:w="2551" w:type="dxa"/>
            <w:tcMar>
              <w:top w:w="15" w:type="dxa"/>
              <w:left w:w="15" w:type="dxa"/>
              <w:bottom w:w="15" w:type="dxa"/>
              <w:right w:w="15" w:type="dxa"/>
            </w:tcMar>
            <w:vAlign w:val="center"/>
          </w:tcPr>
          <w:p>
            <w:pPr>
              <w:adjustRightInd w:val="0"/>
              <w:snapToGrid w:val="0"/>
              <w:jc w:val="center"/>
              <w:rPr>
                <w:rFonts w:ascii="Times New Roman" w:hAnsi="Times New Roman" w:eastAsia="宋体" w:cs="Times New Roman"/>
                <w:sz w:val="22"/>
                <w:highlight w:val="yellow"/>
              </w:rPr>
            </w:pPr>
          </w:p>
        </w:tc>
      </w:tr>
    </w:tbl>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各市县子项目绩效目标自评表详见附表。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三、偏离绩效目标的原因和下一步改进措施</w:t>
      </w:r>
    </w:p>
    <w:p>
      <w:pP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（一）偏离绩效目标的主要因素</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一是资金使用方向不明确，即对奖补资金没有明确使用项目及使用范围，资金分配方案制定迟缓，致使绩效目标不明确；二是资金支付率低，总体支付率仅为49.20%，有4个市县资金支付率为0，影响了资金使用效用；</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县区未及时报备</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及资金支出进度情况。</w:t>
      </w:r>
    </w:p>
    <w:p>
      <w:pPr>
        <w:spacing w:line="600" w:lineRule="exact"/>
        <w:ind w:firstLine="645"/>
        <w:rPr>
          <w:rFonts w:ascii="Times New Roman" w:hAnsi="Times New Roman" w:eastAsia="楷体_GB2312" w:cs="Times New Roman"/>
          <w:b/>
          <w:sz w:val="32"/>
          <w:szCs w:val="32"/>
        </w:rPr>
      </w:pPr>
      <w:r>
        <w:rPr>
          <w:rFonts w:ascii="Times New Roman" w:hAnsi="Times New Roman" w:eastAsia="楷体_GB2312" w:cs="Times New Roman"/>
          <w:b/>
          <w:sz w:val="32"/>
          <w:szCs w:val="32"/>
        </w:rPr>
        <w:t>（二）下一步改进措施</w:t>
      </w:r>
    </w:p>
    <w:p>
      <w:pPr>
        <w:spacing w:line="600" w:lineRule="exact"/>
        <w:ind w:firstLine="645"/>
        <w:rPr>
          <w:rFonts w:ascii="Times New Roman" w:hAnsi="Times New Roman" w:eastAsia="黑体" w:cs="Times New Roman"/>
          <w:sz w:val="32"/>
          <w:szCs w:val="32"/>
        </w:rPr>
      </w:pPr>
      <w:r>
        <w:rPr>
          <w:rFonts w:ascii="Times New Roman" w:hAnsi="Times New Roman" w:eastAsia="仿宋_GB2312" w:cs="Times New Roman"/>
          <w:sz w:val="32"/>
          <w:szCs w:val="32"/>
        </w:rPr>
        <w:t>对于个别市县未能到位的资金，及时与当地财政部门核实并明确相关责任；对于项目实施缓慢造成资金结转的项目，督促项目单位和主管单位加快实施进度，按季度调度项目执行情况；对于项目已实施完毕，部分绩效目标值相对偏低致使项目总体评分低于85分的，在今后的专项资金安排和项目评审中要相应核减；对于资金支出进度报备不及时的情况，督促各项目主管单位和实施单位按季度报备资金支出进度。</w:t>
      </w:r>
    </w:p>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四、绩效自评结果拟应用和公开情况</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一是反馈整改。</w:t>
      </w:r>
      <w:r>
        <w:rPr>
          <w:rFonts w:ascii="Times New Roman" w:hAnsi="Times New Roman" w:eastAsia="仿宋_GB2312" w:cs="Times New Roman"/>
          <w:sz w:val="32"/>
          <w:szCs w:val="32"/>
        </w:rPr>
        <w:t>绩效自评工作完成后，及时整理、归纳、分析绩效评价结果，将评价结果及时反馈被评价的项目单位，作为改进预算管理和安排以后年度预算的重要依据。项目单位根据绩效评价结果，改进管理措施，完善管理办法，调整和优化资金支出结构，对绩效评价中发现的问题及时制定整改措施。</w:t>
      </w:r>
    </w:p>
    <w:p>
      <w:pPr>
        <w:adjustRightInd w:val="0"/>
        <w:snapToGrid w:val="0"/>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二是考核通报。</w:t>
      </w:r>
      <w:r>
        <w:rPr>
          <w:rFonts w:ascii="Times New Roman" w:hAnsi="Times New Roman" w:eastAsia="仿宋_GB2312" w:cs="Times New Roman"/>
          <w:sz w:val="32"/>
          <w:szCs w:val="32"/>
        </w:rPr>
        <w:t>自治区生态环境厅将绩效自评开展情况汇总后报自治区财政厅，并最终根据委托第三方评价的结果进行通报。绩效评价工作质量及评价结果将作为以后年度安排专项资金的重要参考。</w:t>
      </w:r>
    </w:p>
    <w:p>
      <w:pPr>
        <w:adjustRightInd w:val="0"/>
        <w:snapToGrid w:val="0"/>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三是信息公开。</w:t>
      </w:r>
      <w:r>
        <w:rPr>
          <w:rFonts w:ascii="Times New Roman" w:hAnsi="Times New Roman" w:eastAsia="仿宋_GB2312" w:cs="Times New Roman"/>
          <w:sz w:val="32"/>
          <w:szCs w:val="32"/>
        </w:rPr>
        <w:t>绩效自评结果按照政府信息公开的有关规定，在一定范围内公开。</w:t>
      </w:r>
    </w:p>
    <w:p>
      <w:pPr>
        <w:adjustRightInd w:val="0"/>
        <w:snapToGrid w:val="0"/>
        <w:spacing w:line="600" w:lineRule="exact"/>
        <w:ind w:firstLine="640" w:firstLineChars="200"/>
        <w:rPr>
          <w:rFonts w:ascii="Times New Roman" w:hAnsi="Times New Roman" w:eastAsia="仿宋_GB2312" w:cs="Times New Roman"/>
          <w:sz w:val="32"/>
          <w:szCs w:val="32"/>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附表：2022年环境质量和污染物排放总量考核奖</w:t>
      </w:r>
    </w:p>
    <w:p>
      <w:pPr>
        <w:adjustRightInd w:val="0"/>
        <w:snapToGrid w:val="0"/>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补资金</w:t>
      </w:r>
      <w:bookmarkStart w:id="0" w:name="_GoBack"/>
      <w:bookmarkEnd w:id="0"/>
      <w:r>
        <w:rPr>
          <w:rFonts w:ascii="Times New Roman" w:hAnsi="Times New Roman" w:eastAsia="仿宋_GB2312" w:cs="Times New Roman"/>
          <w:sz w:val="32"/>
          <w:szCs w:val="32"/>
        </w:rPr>
        <w:t>绩效自评表（20份）</w:t>
      </w:r>
    </w:p>
    <w:p>
      <w:pPr>
        <w:adjustRightInd w:val="0"/>
        <w:snapToGrid w:val="0"/>
        <w:spacing w:line="600" w:lineRule="exact"/>
        <w:ind w:firstLine="1600" w:firstLineChars="500"/>
        <w:rPr>
          <w:rFonts w:ascii="Times New Roman" w:hAnsi="Times New Roman" w:eastAsia="仿宋_GB2312" w:cs="Times New Roman"/>
          <w:sz w:val="32"/>
          <w:szCs w:val="32"/>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374879"/>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267C2"/>
    <w:multiLevelType w:val="multilevel"/>
    <w:tmpl w:val="7BD267C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52"/>
    <w:rsid w:val="000152B9"/>
    <w:rsid w:val="0005396C"/>
    <w:rsid w:val="00055D4B"/>
    <w:rsid w:val="000667D8"/>
    <w:rsid w:val="000732DF"/>
    <w:rsid w:val="000B0DF7"/>
    <w:rsid w:val="00105F15"/>
    <w:rsid w:val="00115E02"/>
    <w:rsid w:val="00125549"/>
    <w:rsid w:val="001257FD"/>
    <w:rsid w:val="001361CB"/>
    <w:rsid w:val="00147EC1"/>
    <w:rsid w:val="00153024"/>
    <w:rsid w:val="00156C55"/>
    <w:rsid w:val="00172A27"/>
    <w:rsid w:val="00176F3F"/>
    <w:rsid w:val="00182E69"/>
    <w:rsid w:val="00186895"/>
    <w:rsid w:val="001B068E"/>
    <w:rsid w:val="001D166D"/>
    <w:rsid w:val="00201097"/>
    <w:rsid w:val="002010F3"/>
    <w:rsid w:val="002206B4"/>
    <w:rsid w:val="00220ADE"/>
    <w:rsid w:val="00237C76"/>
    <w:rsid w:val="00241440"/>
    <w:rsid w:val="00251672"/>
    <w:rsid w:val="00260C50"/>
    <w:rsid w:val="00263EB5"/>
    <w:rsid w:val="00266226"/>
    <w:rsid w:val="0027363F"/>
    <w:rsid w:val="00287DB4"/>
    <w:rsid w:val="00287FBC"/>
    <w:rsid w:val="002C5441"/>
    <w:rsid w:val="002E40EC"/>
    <w:rsid w:val="002F28FA"/>
    <w:rsid w:val="003028D6"/>
    <w:rsid w:val="003130B0"/>
    <w:rsid w:val="00313ED4"/>
    <w:rsid w:val="003162CF"/>
    <w:rsid w:val="003204B9"/>
    <w:rsid w:val="00337931"/>
    <w:rsid w:val="00343A96"/>
    <w:rsid w:val="00345724"/>
    <w:rsid w:val="00347130"/>
    <w:rsid w:val="003A409B"/>
    <w:rsid w:val="003A7E17"/>
    <w:rsid w:val="003B000F"/>
    <w:rsid w:val="003D54B7"/>
    <w:rsid w:val="003F1445"/>
    <w:rsid w:val="004061A7"/>
    <w:rsid w:val="00415635"/>
    <w:rsid w:val="00417374"/>
    <w:rsid w:val="0042041D"/>
    <w:rsid w:val="004348ED"/>
    <w:rsid w:val="00442CE7"/>
    <w:rsid w:val="0044476A"/>
    <w:rsid w:val="00446545"/>
    <w:rsid w:val="00447428"/>
    <w:rsid w:val="00450528"/>
    <w:rsid w:val="00487629"/>
    <w:rsid w:val="00495E56"/>
    <w:rsid w:val="004970E7"/>
    <w:rsid w:val="004A1A08"/>
    <w:rsid w:val="004B11F5"/>
    <w:rsid w:val="004B2820"/>
    <w:rsid w:val="004B3C2E"/>
    <w:rsid w:val="004B3E44"/>
    <w:rsid w:val="004B4D57"/>
    <w:rsid w:val="004B7344"/>
    <w:rsid w:val="004C0F4B"/>
    <w:rsid w:val="004C2E25"/>
    <w:rsid w:val="004C3789"/>
    <w:rsid w:val="004D5100"/>
    <w:rsid w:val="004E422D"/>
    <w:rsid w:val="00506DDB"/>
    <w:rsid w:val="00507145"/>
    <w:rsid w:val="00507F5B"/>
    <w:rsid w:val="00511E24"/>
    <w:rsid w:val="00531216"/>
    <w:rsid w:val="00566820"/>
    <w:rsid w:val="00570C7C"/>
    <w:rsid w:val="005759C4"/>
    <w:rsid w:val="005800B7"/>
    <w:rsid w:val="005A1891"/>
    <w:rsid w:val="005D37A3"/>
    <w:rsid w:val="005E580B"/>
    <w:rsid w:val="005F3EF5"/>
    <w:rsid w:val="0061297A"/>
    <w:rsid w:val="0063483F"/>
    <w:rsid w:val="00650578"/>
    <w:rsid w:val="00652874"/>
    <w:rsid w:val="00664B7C"/>
    <w:rsid w:val="00665C45"/>
    <w:rsid w:val="00673464"/>
    <w:rsid w:val="0067482E"/>
    <w:rsid w:val="00680B33"/>
    <w:rsid w:val="00692669"/>
    <w:rsid w:val="00693261"/>
    <w:rsid w:val="006A4911"/>
    <w:rsid w:val="006D7BD2"/>
    <w:rsid w:val="006E3AD4"/>
    <w:rsid w:val="006E5921"/>
    <w:rsid w:val="006F61B6"/>
    <w:rsid w:val="006F7959"/>
    <w:rsid w:val="00706143"/>
    <w:rsid w:val="00711560"/>
    <w:rsid w:val="00715926"/>
    <w:rsid w:val="007233EB"/>
    <w:rsid w:val="007305A8"/>
    <w:rsid w:val="00767A4F"/>
    <w:rsid w:val="00775694"/>
    <w:rsid w:val="00787BCD"/>
    <w:rsid w:val="007937B8"/>
    <w:rsid w:val="007B0180"/>
    <w:rsid w:val="007B5D62"/>
    <w:rsid w:val="007B7A2A"/>
    <w:rsid w:val="007C3141"/>
    <w:rsid w:val="007C3428"/>
    <w:rsid w:val="007C7473"/>
    <w:rsid w:val="007E7565"/>
    <w:rsid w:val="007F4CE8"/>
    <w:rsid w:val="00801903"/>
    <w:rsid w:val="00805C98"/>
    <w:rsid w:val="00811AFF"/>
    <w:rsid w:val="00831E67"/>
    <w:rsid w:val="00854FF9"/>
    <w:rsid w:val="0086054D"/>
    <w:rsid w:val="00861886"/>
    <w:rsid w:val="008733DA"/>
    <w:rsid w:val="00877B0F"/>
    <w:rsid w:val="00881C46"/>
    <w:rsid w:val="00885624"/>
    <w:rsid w:val="00891A82"/>
    <w:rsid w:val="00892834"/>
    <w:rsid w:val="008A3B55"/>
    <w:rsid w:val="008A3E8A"/>
    <w:rsid w:val="008D488A"/>
    <w:rsid w:val="009009AD"/>
    <w:rsid w:val="00910425"/>
    <w:rsid w:val="0091057C"/>
    <w:rsid w:val="00914817"/>
    <w:rsid w:val="009160A2"/>
    <w:rsid w:val="00917531"/>
    <w:rsid w:val="009328D6"/>
    <w:rsid w:val="0094187A"/>
    <w:rsid w:val="00942D9D"/>
    <w:rsid w:val="009471E6"/>
    <w:rsid w:val="00962467"/>
    <w:rsid w:val="009657C2"/>
    <w:rsid w:val="009677FA"/>
    <w:rsid w:val="0099128C"/>
    <w:rsid w:val="00992F39"/>
    <w:rsid w:val="009A1902"/>
    <w:rsid w:val="009B0335"/>
    <w:rsid w:val="009B250A"/>
    <w:rsid w:val="009B3F60"/>
    <w:rsid w:val="009B6723"/>
    <w:rsid w:val="009C257E"/>
    <w:rsid w:val="009D0A9E"/>
    <w:rsid w:val="009D0DA1"/>
    <w:rsid w:val="009E153F"/>
    <w:rsid w:val="009E3B57"/>
    <w:rsid w:val="009F0C39"/>
    <w:rsid w:val="009F1409"/>
    <w:rsid w:val="009F2367"/>
    <w:rsid w:val="00A3481D"/>
    <w:rsid w:val="00A351C3"/>
    <w:rsid w:val="00A55728"/>
    <w:rsid w:val="00A66871"/>
    <w:rsid w:val="00A92255"/>
    <w:rsid w:val="00AA2C92"/>
    <w:rsid w:val="00AA50A7"/>
    <w:rsid w:val="00AA73F6"/>
    <w:rsid w:val="00AB245A"/>
    <w:rsid w:val="00AB2ECE"/>
    <w:rsid w:val="00AB7BD0"/>
    <w:rsid w:val="00AB7EB6"/>
    <w:rsid w:val="00AC1638"/>
    <w:rsid w:val="00AD07BA"/>
    <w:rsid w:val="00AE6BD3"/>
    <w:rsid w:val="00B3660F"/>
    <w:rsid w:val="00B41575"/>
    <w:rsid w:val="00B615EC"/>
    <w:rsid w:val="00B62CCD"/>
    <w:rsid w:val="00B673CC"/>
    <w:rsid w:val="00B769BF"/>
    <w:rsid w:val="00B92F4A"/>
    <w:rsid w:val="00BB6736"/>
    <w:rsid w:val="00BC46FF"/>
    <w:rsid w:val="00C0000E"/>
    <w:rsid w:val="00C01EA6"/>
    <w:rsid w:val="00C20EE9"/>
    <w:rsid w:val="00C33F20"/>
    <w:rsid w:val="00C53974"/>
    <w:rsid w:val="00C71430"/>
    <w:rsid w:val="00C7169D"/>
    <w:rsid w:val="00C75A15"/>
    <w:rsid w:val="00C86A4F"/>
    <w:rsid w:val="00C925F5"/>
    <w:rsid w:val="00C969CF"/>
    <w:rsid w:val="00CB256E"/>
    <w:rsid w:val="00CB3C8D"/>
    <w:rsid w:val="00CD7505"/>
    <w:rsid w:val="00CE66E8"/>
    <w:rsid w:val="00D00C48"/>
    <w:rsid w:val="00D033FF"/>
    <w:rsid w:val="00D04D8B"/>
    <w:rsid w:val="00D10286"/>
    <w:rsid w:val="00D15303"/>
    <w:rsid w:val="00D277AA"/>
    <w:rsid w:val="00D27DFD"/>
    <w:rsid w:val="00D41F04"/>
    <w:rsid w:val="00D843DF"/>
    <w:rsid w:val="00DB05DE"/>
    <w:rsid w:val="00DC375C"/>
    <w:rsid w:val="00DC464E"/>
    <w:rsid w:val="00DE53AB"/>
    <w:rsid w:val="00E008AA"/>
    <w:rsid w:val="00E10888"/>
    <w:rsid w:val="00E33660"/>
    <w:rsid w:val="00E353D8"/>
    <w:rsid w:val="00E63ED4"/>
    <w:rsid w:val="00E755A4"/>
    <w:rsid w:val="00E801ED"/>
    <w:rsid w:val="00E80624"/>
    <w:rsid w:val="00E8195C"/>
    <w:rsid w:val="00EA7570"/>
    <w:rsid w:val="00EC3580"/>
    <w:rsid w:val="00EE1411"/>
    <w:rsid w:val="00EE17FC"/>
    <w:rsid w:val="00EF1709"/>
    <w:rsid w:val="00EF435A"/>
    <w:rsid w:val="00EF6337"/>
    <w:rsid w:val="00F17C43"/>
    <w:rsid w:val="00F320BD"/>
    <w:rsid w:val="00F41A7C"/>
    <w:rsid w:val="00F56B93"/>
    <w:rsid w:val="00F61E07"/>
    <w:rsid w:val="00F64753"/>
    <w:rsid w:val="00F912DE"/>
    <w:rsid w:val="00F93F40"/>
    <w:rsid w:val="00F974E8"/>
    <w:rsid w:val="00FA57F5"/>
    <w:rsid w:val="00FA65C5"/>
    <w:rsid w:val="00FB75F0"/>
    <w:rsid w:val="00FC2880"/>
    <w:rsid w:val="4FC7BDB9"/>
    <w:rsid w:val="6CD9B2C7"/>
    <w:rsid w:val="6ECD8778"/>
    <w:rsid w:val="6FF9C337"/>
    <w:rsid w:val="EF7F1199"/>
    <w:rsid w:val="F56FF190"/>
    <w:rsid w:val="FBBFC7B3"/>
    <w:rsid w:val="FBD77717"/>
    <w:rsid w:val="FCC6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687</Words>
  <Characters>3917</Characters>
  <Lines>32</Lines>
  <Paragraphs>9</Paragraphs>
  <TotalTime>4</TotalTime>
  <ScaleCrop>false</ScaleCrop>
  <LinksUpToDate>false</LinksUpToDate>
  <CharactersWithSpaces>4595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2021-03-11T16:47:00Z</dcterms:created>
  <dc:creator>张守君</dc:creator>
  <cp:lastModifiedBy>a1419</cp:lastModifiedBy>
  <cp:lastPrinted>2021-03-20T23:44:00Z</cp:lastPrinted>
  <dcterms:modified xsi:type="dcterms:W3CDTF">2023-05-25T09:38:21Z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