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2022年黄河宁夏段干支流及重点入黄排水沟</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上下游横向生态保护补偿资金</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绩效自评报告</w:t>
      </w:r>
    </w:p>
    <w:p>
      <w:pPr>
        <w:spacing w:line="600" w:lineRule="exact"/>
        <w:rPr>
          <w:rFonts w:ascii="Times New Roman" w:hAnsi="Times New Roman" w:eastAsia="仿宋_GB2312" w:cs="Times New Roman"/>
          <w:sz w:val="32"/>
          <w:szCs w:val="32"/>
        </w:rPr>
      </w:pPr>
    </w:p>
    <w:p>
      <w:pPr>
        <w:pStyle w:val="7"/>
        <w:numPr>
          <w:ilvl w:val="0"/>
          <w:numId w:val="1"/>
        </w:numPr>
        <w:spacing w:line="60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绩效目标分解下达情况</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2022年12月份，宁夏回族自治区财政厅、生态环境厅、水利厅、林业和草原局以宁财（资环）指标〔2022〕600号文件下达2022年黄河宁夏段干支流及重点入黄排水沟上下游横向生态保护补偿资金20000万元，涉及全区5个地市本级、宁东基地管委会和22个县（市、区），下达资金指标时要求15日内报备资金使用方案，要求资金使用方案要细化到具体项目（详见表1）。</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表1  2022年黄河宁夏段干支流及重点入黄排水沟上下游横向</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生态保护补偿资金绩效目标分解情况</w:t>
      </w:r>
    </w:p>
    <w:tbl>
      <w:tblPr>
        <w:tblStyle w:val="5"/>
        <w:tblW w:w="545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21"/>
        <w:gridCol w:w="1073"/>
        <w:gridCol w:w="2097"/>
        <w:gridCol w:w="5046"/>
        <w:gridCol w:w="11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15" w:type="pct"/>
            <w:tcBorders>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序号</w:t>
            </w:r>
          </w:p>
        </w:tc>
        <w:tc>
          <w:tcPr>
            <w:tcW w:w="548" w:type="pct"/>
            <w:tcBorders>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市县名称</w:t>
            </w:r>
          </w:p>
        </w:tc>
        <w:tc>
          <w:tcPr>
            <w:tcW w:w="1071" w:type="pct"/>
            <w:tcBorders>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项目名称</w:t>
            </w:r>
          </w:p>
        </w:tc>
        <w:tc>
          <w:tcPr>
            <w:tcW w:w="2577" w:type="pct"/>
            <w:tcBorders>
              <w:bottom w:val="single" w:color="auto" w:sz="6" w:space="0"/>
            </w:tcBorders>
            <w:tcMar>
              <w:top w:w="15" w:type="dxa"/>
              <w:left w:w="15" w:type="dxa"/>
              <w:bottom w:w="15" w:type="dxa"/>
              <w:right w:w="15" w:type="dxa"/>
            </w:tcMar>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项目绩效</w:t>
            </w:r>
          </w:p>
        </w:tc>
        <w:tc>
          <w:tcPr>
            <w:tcW w:w="589" w:type="pct"/>
            <w:tcBorders>
              <w:bottom w:val="single" w:color="auto" w:sz="6" w:space="0"/>
            </w:tcBorders>
            <w:vAlign w:val="center"/>
          </w:tcPr>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补助资金</w:t>
            </w:r>
          </w:p>
          <w:p>
            <w:pPr>
              <w:adjustRightInd w:val="0"/>
              <w:snapToGrid w:val="0"/>
              <w:spacing w:line="280" w:lineRule="exact"/>
              <w:jc w:val="center"/>
              <w:rPr>
                <w:rFonts w:ascii="Times New Roman" w:hAnsi="Times New Roman" w:eastAsia="宋体" w:cs="Times New Roman"/>
                <w:b/>
                <w:bCs/>
                <w:sz w:val="22"/>
              </w:rPr>
            </w:pPr>
            <w:r>
              <w:rPr>
                <w:rFonts w:ascii="Times New Roman" w:hAnsi="Times New Roman" w:eastAsia="宋体" w:cs="Times New Roman"/>
                <w:b/>
                <w:bCs/>
                <w:sz w:val="22"/>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Borders>
              <w:bottom w:val="single" w:color="auto" w:sz="4" w:space="0"/>
            </w:tcBorders>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w:t>
            </w:r>
          </w:p>
        </w:tc>
        <w:tc>
          <w:tcPr>
            <w:tcW w:w="1073" w:type="dxa"/>
            <w:tcBorders>
              <w:bottom w:val="single" w:color="auto" w:sz="4" w:space="0"/>
            </w:tcBorders>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银川 市本级</w:t>
            </w:r>
          </w:p>
        </w:tc>
        <w:tc>
          <w:tcPr>
            <w:tcW w:w="2097" w:type="dxa"/>
            <w:tcBorders>
              <w:bottom w:val="single" w:color="auto" w:sz="4" w:space="0"/>
            </w:tcBorders>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银川市本级上下游</w:t>
            </w:r>
            <w:r>
              <w:rPr>
                <w:rStyle w:val="11"/>
                <w:rFonts w:hint="default" w:ascii="Times New Roman" w:hAnsi="Times New Roman" w:cs="Times New Roman"/>
                <w:lang w:bidi="ar"/>
              </w:rPr>
              <w:t>横向生态保护补偿资金</w:t>
            </w:r>
          </w:p>
        </w:tc>
        <w:tc>
          <w:tcPr>
            <w:tcW w:w="5046" w:type="dxa"/>
            <w:tcMar>
              <w:top w:w="15" w:type="dxa"/>
              <w:left w:w="15" w:type="dxa"/>
              <w:bottom w:w="15" w:type="dxa"/>
              <w:right w:w="15" w:type="dxa"/>
            </w:tcMar>
            <w:vAlign w:val="center"/>
          </w:tcPr>
          <w:p>
            <w:pPr>
              <w:widowControl/>
              <w:spacing w:line="28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568.00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Borders>
              <w:top w:val="single" w:color="auto" w:sz="4" w:space="0"/>
            </w:tcBorders>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w:t>
            </w:r>
          </w:p>
        </w:tc>
        <w:tc>
          <w:tcPr>
            <w:tcW w:w="1073" w:type="dxa"/>
            <w:tcBorders>
              <w:top w:val="single" w:color="auto" w:sz="4" w:space="0"/>
            </w:tcBorders>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兴庆区</w:t>
            </w:r>
          </w:p>
        </w:tc>
        <w:tc>
          <w:tcPr>
            <w:tcW w:w="2097" w:type="dxa"/>
            <w:tcBorders>
              <w:top w:val="single" w:color="auto" w:sz="4" w:space="0"/>
            </w:tcBorders>
            <w:tcMar>
              <w:top w:w="15" w:type="dxa"/>
              <w:left w:w="15" w:type="dxa"/>
              <w:bottom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eastAsia="宋体" w:cs="Times New Roman"/>
                <w:color w:val="000000"/>
                <w:kern w:val="0"/>
                <w:sz w:val="22"/>
                <w:lang w:bidi="ar"/>
              </w:rPr>
              <w:t>兴庆</w:t>
            </w:r>
            <w:r>
              <w:rPr>
                <w:rStyle w:val="11"/>
                <w:rFonts w:hint="default" w:ascii="Times New Roman" w:hAnsi="Times New Roman" w:cs="Times New Roman"/>
                <w:lang w:bidi="ar"/>
              </w:rPr>
              <w:t>区上下游横向生态保护补偿资金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568.00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3</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金凤区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eastAsia="宋体" w:cs="Times New Roman"/>
                <w:color w:val="000000"/>
                <w:kern w:val="0"/>
                <w:sz w:val="22"/>
                <w:lang w:bidi="ar"/>
              </w:rPr>
              <w:t>金凤</w:t>
            </w:r>
            <w:r>
              <w:rPr>
                <w:rStyle w:val="11"/>
                <w:rFonts w:hint="default" w:ascii="Times New Roman" w:hAnsi="Times New Roman" w:cs="Times New Roman"/>
                <w:lang w:bidi="ar"/>
              </w:rPr>
              <w:t>区上下游横向生态保护补偿资金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489.00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4</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西夏区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eastAsia="宋体" w:cs="Times New Roman"/>
                <w:color w:val="000000"/>
                <w:kern w:val="0"/>
                <w:sz w:val="22"/>
                <w:lang w:bidi="ar"/>
              </w:rPr>
              <w:t>西夏区上下游</w:t>
            </w:r>
            <w:r>
              <w:rPr>
                <w:rStyle w:val="11"/>
                <w:rFonts w:hint="default" w:ascii="Times New Roman" w:hAnsi="Times New Roman" w:cs="Times New Roman"/>
                <w:lang w:bidi="ar"/>
              </w:rPr>
              <w:t>横向生态保护补偿资金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741.00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5</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永宁县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eastAsia="宋体" w:cs="Times New Roman"/>
                <w:color w:val="000000"/>
                <w:kern w:val="0"/>
                <w:sz w:val="22"/>
                <w:lang w:bidi="ar"/>
              </w:rPr>
              <w:t>永宁</w:t>
            </w:r>
            <w:r>
              <w:rPr>
                <w:rStyle w:val="11"/>
                <w:rFonts w:hint="default" w:ascii="Times New Roman" w:hAnsi="Times New Roman" w:cs="Times New Roman"/>
                <w:lang w:bidi="ar"/>
              </w:rPr>
              <w:t>县上下游横向生态保护补偿资金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1036.00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6</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贺兰县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eastAsia="宋体" w:cs="Times New Roman"/>
                <w:color w:val="000000"/>
                <w:kern w:val="0"/>
                <w:sz w:val="22"/>
                <w:lang w:bidi="ar"/>
              </w:rPr>
              <w:t>贺</w:t>
            </w:r>
            <w:r>
              <w:rPr>
                <w:rStyle w:val="11"/>
                <w:rFonts w:hint="default" w:ascii="Times New Roman" w:hAnsi="Times New Roman" w:cs="Times New Roman"/>
                <w:lang w:bidi="ar"/>
              </w:rPr>
              <w:t>兰县上下游横向生态保护补偿资金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899.00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7</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灵武市</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eastAsia="宋体" w:cs="Times New Roman"/>
                <w:color w:val="000000"/>
                <w:kern w:val="0"/>
                <w:sz w:val="22"/>
                <w:lang w:bidi="ar"/>
              </w:rPr>
              <w:t>灵</w:t>
            </w:r>
            <w:r>
              <w:rPr>
                <w:rStyle w:val="11"/>
                <w:rFonts w:hint="default" w:ascii="Times New Roman" w:hAnsi="Times New Roman" w:cs="Times New Roman"/>
                <w:lang w:bidi="ar"/>
              </w:rPr>
              <w:t>武市上下游横向生态保护补偿资金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318.00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8</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石嘴山市本级</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eastAsia="宋体" w:cs="Times New Roman"/>
                <w:color w:val="000000"/>
                <w:kern w:val="0"/>
                <w:sz w:val="22"/>
                <w:lang w:bidi="ar"/>
              </w:rPr>
              <w:t>石嘴山市本级上下游</w:t>
            </w:r>
            <w:r>
              <w:rPr>
                <w:rStyle w:val="11"/>
                <w:rFonts w:hint="default" w:ascii="Times New Roman" w:hAnsi="Times New Roman" w:cs="Times New Roman"/>
                <w:lang w:bidi="ar"/>
              </w:rPr>
              <w:t>横向生态保护补偿资金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1133.00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大武口区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大武口区上下游横向生态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1356.00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惠农区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惠农区上下游横向生态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433.00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11</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平罗县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平罗县上下游横向生态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1704.00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12</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吴忠市本级</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吴忠市本级上下游横向生态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580.00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13</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利通区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利通区上下游横向生态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611.00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14</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红寺堡区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红寺堡区上下游横向生态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466.00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15</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青铜峡市</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青铜峡市上下游横向生态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891.00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16</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盐池县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盐池县上下游横向生态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145.00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17</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同心县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同心县上下游横向生态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563.00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18</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固原市本级</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固原市本级上下游横向</w:t>
            </w:r>
            <w:r>
              <w:rPr>
                <w:rStyle w:val="11"/>
                <w:rFonts w:hint="default" w:ascii="Times New Roman" w:hAnsi="Times New Roman" w:cs="Times New Roman"/>
                <w:lang w:bidi="ar"/>
              </w:rPr>
              <w:t>保护</w:t>
            </w:r>
            <w:r>
              <w:rPr>
                <w:rStyle w:val="12"/>
                <w:rFonts w:hint="default" w:ascii="Times New Roman" w:hAnsi="Times New Roman" w:cs="Times New Roman"/>
                <w:lang w:bidi="ar"/>
              </w:rPr>
              <w:t>生态补偿资金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586.00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19</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原州区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原州区上下游横向生态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586.00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20</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西吉县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西吉县上下游横向生态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623.00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21</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隆德县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隆德县上下游横向生态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646.00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22</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泾源县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泾源县上下游横向生态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493.00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23</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彭阳县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彭阳县上下游横向生态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647.00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24</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中卫市本级</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中卫市本级上下游横向生态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830.00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25</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沙坡头区</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沙坡头区上下游横向生态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830.00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26</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中宁县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中宁县上下游横向生态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781.00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27</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海原县</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海原县上下游横向生态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548.00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1"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28</w:t>
            </w:r>
          </w:p>
        </w:tc>
        <w:tc>
          <w:tcPr>
            <w:tcW w:w="1073"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宁东管委会</w:t>
            </w:r>
          </w:p>
        </w:tc>
        <w:tc>
          <w:tcPr>
            <w:tcW w:w="2097" w:type="dxa"/>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宁东管委会上下游横向生态</w:t>
            </w:r>
            <w:r>
              <w:rPr>
                <w:rStyle w:val="11"/>
                <w:rFonts w:hint="default" w:ascii="Times New Roman" w:hAnsi="Times New Roman" w:cs="Times New Roman"/>
                <w:lang w:bidi="ar"/>
              </w:rPr>
              <w:t>保护</w:t>
            </w:r>
            <w:r>
              <w:rPr>
                <w:rStyle w:val="12"/>
                <w:rFonts w:hint="default" w:ascii="Times New Roman" w:hAnsi="Times New Roman" w:cs="Times New Roman"/>
                <w:lang w:bidi="ar"/>
              </w:rPr>
              <w:t>补偿资金</w:t>
            </w:r>
          </w:p>
        </w:tc>
        <w:tc>
          <w:tcPr>
            <w:tcW w:w="5046" w:type="dxa"/>
            <w:tcMar>
              <w:top w:w="15" w:type="dxa"/>
              <w:left w:w="15" w:type="dxa"/>
              <w:bottom w:w="15" w:type="dxa"/>
              <w:right w:w="15" w:type="dxa"/>
            </w:tcMar>
          </w:tcPr>
          <w:p>
            <w:pPr>
              <w:widowControl/>
              <w:spacing w:line="280" w:lineRule="exact"/>
              <w:textAlignment w:val="top"/>
              <w:rPr>
                <w:rFonts w:ascii="Times New Roman" w:hAnsi="Times New Roman" w:cs="Times New Roman"/>
              </w:rPr>
            </w:pPr>
            <w:r>
              <w:rPr>
                <w:rFonts w:ascii="Times New Roman" w:hAnsi="Times New Roman" w:eastAsia="宋体" w:cs="Times New Roman"/>
                <w:color w:val="000000"/>
                <w:kern w:val="0"/>
                <w:sz w:val="22"/>
                <w:lang w:bidi="ar"/>
              </w:rPr>
              <w:t>统筹用于水污染治理、水资源保护与节约利用、水土保持、生态保护与修复、环境治理能力建设</w:t>
            </w:r>
            <w:r>
              <w:rPr>
                <w:rStyle w:val="11"/>
                <w:rFonts w:hint="default" w:ascii="Times New Roman" w:hAnsi="Times New Roman" w:cs="Times New Roman"/>
                <w:lang w:bidi="ar"/>
              </w:rPr>
              <w:t>等推进黄河流域生态保护相关项目和工作支出。</w:t>
            </w:r>
          </w:p>
        </w:tc>
        <w:tc>
          <w:tcPr>
            <w:tcW w:w="1153" w:type="dxa"/>
            <w:vAlign w:val="center"/>
          </w:tcPr>
          <w:p>
            <w:pPr>
              <w:widowControl/>
              <w:spacing w:line="280" w:lineRule="exact"/>
              <w:jc w:val="center"/>
              <w:textAlignment w:val="center"/>
              <w:rPr>
                <w:rFonts w:ascii="Times New Roman" w:hAnsi="Times New Roman" w:cs="Times New Roman"/>
                <w:bCs/>
                <w:kern w:val="0"/>
                <w:szCs w:val="21"/>
              </w:rPr>
            </w:pPr>
            <w:r>
              <w:rPr>
                <w:rFonts w:ascii="Times New Roman" w:hAnsi="Times New Roman" w:eastAsia="宋体" w:cs="Times New Roman"/>
                <w:color w:val="000000"/>
                <w:kern w:val="0"/>
                <w:szCs w:val="21"/>
                <w:lang w:bidi="ar"/>
              </w:rPr>
              <w:t xml:space="preserve">929.00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637" w:type="dxa"/>
            <w:gridSpan w:val="4"/>
            <w:tcBorders>
              <w:top w:val="single" w:color="auto" w:sz="4" w:space="0"/>
            </w:tcBorders>
            <w:tcMar>
              <w:top w:w="15" w:type="dxa"/>
              <w:left w:w="15" w:type="dxa"/>
              <w:bottom w:w="15" w:type="dxa"/>
              <w:right w:w="15" w:type="dxa"/>
            </w:tcMar>
            <w:vAlign w:val="center"/>
          </w:tcPr>
          <w:p>
            <w:pPr>
              <w:widowControl/>
              <w:spacing w:line="280" w:lineRule="exact"/>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资金合计</w:t>
            </w:r>
          </w:p>
        </w:tc>
        <w:tc>
          <w:tcPr>
            <w:tcW w:w="1153" w:type="dxa"/>
            <w:tcBorders>
              <w:top w:val="single" w:color="auto" w:sz="4" w:space="0"/>
            </w:tcBorders>
            <w:vAlign w:val="center"/>
          </w:tcPr>
          <w:p>
            <w:pPr>
              <w:widowControl/>
              <w:spacing w:line="280" w:lineRule="exact"/>
              <w:jc w:val="center"/>
              <w:textAlignment w:val="center"/>
              <w:rPr>
                <w:rFonts w:ascii="Times New Roman" w:hAnsi="Times New Roman" w:eastAsia="宋体" w:cs="Times New Roman"/>
                <w:b/>
                <w:szCs w:val="21"/>
              </w:rPr>
            </w:pPr>
            <w:r>
              <w:rPr>
                <w:rFonts w:ascii="Times New Roman" w:hAnsi="Times New Roman" w:eastAsia="宋体" w:cs="Times New Roman"/>
                <w:b/>
                <w:color w:val="000000"/>
                <w:kern w:val="0"/>
                <w:szCs w:val="21"/>
                <w:lang w:bidi="ar"/>
              </w:rPr>
              <w:t xml:space="preserve">20000.00 </w:t>
            </w:r>
          </w:p>
        </w:tc>
      </w:tr>
    </w:tbl>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二、绩效目标完成情况分析</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（一）资金投入情况分析</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1.项目资金到位情况分析</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截止2022年12月31日，依照申报程序确定实施的2022年黄河宁夏段干支流及重点入黄排水沟上下游横向生态保护补偿资金已全部拨付各市、县（区），资金拨付率100%，部分市县横向生态保护补偿资金未全部到位，实际资金到位率为</w:t>
      </w:r>
      <w:r>
        <w:rPr>
          <w:rFonts w:ascii="Times New Roman" w:hAnsi="Times New Roman" w:eastAsia="仿宋_GB2312" w:cs="Times New Roman"/>
          <w:color w:val="000000" w:themeColor="text1"/>
          <w:sz w:val="32"/>
          <w:szCs w:val="32"/>
          <w14:textFill>
            <w14:solidFill>
              <w14:schemeClr w14:val="tx1"/>
            </w14:solidFill>
          </w14:textFill>
        </w:rPr>
        <w:t>90.68</w:t>
      </w:r>
      <w:r>
        <w:rPr>
          <w:rFonts w:ascii="Times New Roman" w:hAnsi="Times New Roman" w:eastAsia="仿宋_GB2312" w:cs="Times New Roman"/>
          <w:sz w:val="32"/>
          <w:szCs w:val="32"/>
        </w:rPr>
        <w:t>%。</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2.项目资金执行情况分析</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sz w:val="32"/>
          <w:szCs w:val="32"/>
        </w:rPr>
        <w:t>截止2022年12月31日，2022年黄河宁夏段干支流及重点入黄排水沟上下游横向生态保护补偿资金预算执行率为</w:t>
      </w:r>
      <w:r>
        <w:rPr>
          <w:rFonts w:ascii="Times New Roman" w:hAnsi="Times New Roman" w:eastAsia="仿宋_GB2312" w:cs="Times New Roman"/>
          <w:color w:val="000000" w:themeColor="text1"/>
          <w:sz w:val="32"/>
          <w:szCs w:val="32"/>
          <w14:textFill>
            <w14:solidFill>
              <w14:schemeClr w14:val="tx1"/>
            </w14:solidFill>
          </w14:textFill>
        </w:rPr>
        <w:t>37.07</w:t>
      </w:r>
      <w:r>
        <w:rPr>
          <w:rFonts w:ascii="Times New Roman" w:hAnsi="Times New Roman" w:eastAsia="仿宋_GB2312" w:cs="Times New Roman"/>
          <w:sz w:val="32"/>
          <w:szCs w:val="32"/>
        </w:rPr>
        <w:t>%（详见表2）。</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表2   2022年黄河宁夏段干支流及重点入黄排水沟上下游横向</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生态保护补偿资金执行情况</w:t>
      </w:r>
    </w:p>
    <w:tbl>
      <w:tblPr>
        <w:tblStyle w:val="5"/>
        <w:tblW w:w="5138" w:type="pct"/>
        <w:tblInd w:w="0" w:type="dxa"/>
        <w:tblLayout w:type="autofit"/>
        <w:tblCellMar>
          <w:top w:w="0" w:type="dxa"/>
          <w:left w:w="108" w:type="dxa"/>
          <w:bottom w:w="0" w:type="dxa"/>
          <w:right w:w="108" w:type="dxa"/>
        </w:tblCellMar>
      </w:tblPr>
      <w:tblGrid>
        <w:gridCol w:w="450"/>
        <w:gridCol w:w="2595"/>
        <w:gridCol w:w="1421"/>
        <w:gridCol w:w="1203"/>
        <w:gridCol w:w="1248"/>
        <w:gridCol w:w="1248"/>
        <w:gridCol w:w="1145"/>
      </w:tblGrid>
      <w:tr>
        <w:tblPrEx>
          <w:tblCellMar>
            <w:top w:w="0" w:type="dxa"/>
            <w:left w:w="108" w:type="dxa"/>
            <w:bottom w:w="0" w:type="dxa"/>
            <w:right w:w="108" w:type="dxa"/>
          </w:tblCellMar>
        </w:tblPrEx>
        <w:trPr>
          <w:trHeight w:val="840" w:hRule="atLeast"/>
          <w:tblHeader/>
        </w:trPr>
        <w:tc>
          <w:tcPr>
            <w:tcW w:w="242" w:type="pct"/>
            <w:tcBorders>
              <w:top w:val="single" w:color="auto" w:sz="12" w:space="0"/>
              <w:left w:val="single" w:color="auto" w:sz="12"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序号</w:t>
            </w:r>
          </w:p>
        </w:tc>
        <w:tc>
          <w:tcPr>
            <w:tcW w:w="1394"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项目名称</w:t>
            </w:r>
          </w:p>
        </w:tc>
        <w:tc>
          <w:tcPr>
            <w:tcW w:w="763"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自治区专项资金（万元）</w:t>
            </w:r>
          </w:p>
        </w:tc>
        <w:tc>
          <w:tcPr>
            <w:tcW w:w="646"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地方配套资金（万元）</w:t>
            </w:r>
          </w:p>
        </w:tc>
        <w:tc>
          <w:tcPr>
            <w:tcW w:w="670"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全年执行数（万元）</w:t>
            </w:r>
          </w:p>
        </w:tc>
        <w:tc>
          <w:tcPr>
            <w:tcW w:w="670" w:type="pct"/>
            <w:tcBorders>
              <w:top w:val="single" w:color="auto" w:sz="12"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自治区资金执行数（万元）</w:t>
            </w:r>
          </w:p>
        </w:tc>
        <w:tc>
          <w:tcPr>
            <w:tcW w:w="615" w:type="pct"/>
            <w:tcBorders>
              <w:top w:val="single" w:color="auto" w:sz="12" w:space="0"/>
              <w:left w:val="nil"/>
              <w:bottom w:val="single" w:color="auto" w:sz="4" w:space="0"/>
              <w:right w:val="single" w:color="auto" w:sz="12" w:space="0"/>
            </w:tcBorders>
            <w:shd w:val="clear" w:color="auto" w:fill="auto"/>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自治区资金执行率</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银川市本级上下游横向生态保护补偿资金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568.00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兴庆区上下游横向生态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568.00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3</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金凤区上下游横向生态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489.00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4</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西夏区上下游横向生态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741.00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5</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永宁县上下游横向生态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1036.00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741.97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741.97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71.62%</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6</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贺兰县上下游横向生态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899.00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7</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灵武市上下游横向生态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318.00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8</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石嘴山市本级上下游横向生态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1133.00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1133.00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1133.00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9</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大武口区上下游横向生态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1356.00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781.76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781.76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57.65%</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惠农区上下游横向生态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433.00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433.00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433.00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11</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平罗县上下游横向生态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1704.00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40.00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2.35%</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12</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吴忠市本级上下游横向生态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580.00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13</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利通区上下游横向生态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611.00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611.00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611.00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14</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红寺堡区上下游横向生态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466.00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15</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青铜峡市上下游横向生态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891.00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16</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盐池县上下游横向生态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145.00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17</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同心县上下游横向生态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563.00 </w:t>
            </w:r>
          </w:p>
        </w:tc>
        <w:tc>
          <w:tcPr>
            <w:tcW w:w="1203"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nil"/>
              <w:left w:val="nil"/>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nil"/>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18</w:t>
            </w:r>
          </w:p>
        </w:tc>
        <w:tc>
          <w:tcPr>
            <w:tcW w:w="2595" w:type="dxa"/>
            <w:tcBorders>
              <w:top w:val="nil"/>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固原市本级上下游横向生态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586.00 </w:t>
            </w:r>
          </w:p>
        </w:tc>
        <w:tc>
          <w:tcPr>
            <w:tcW w:w="120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586.00 </w:t>
            </w:r>
          </w:p>
        </w:tc>
        <w:tc>
          <w:tcPr>
            <w:tcW w:w="124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586.00 </w:t>
            </w:r>
          </w:p>
        </w:tc>
        <w:tc>
          <w:tcPr>
            <w:tcW w:w="1145" w:type="dxa"/>
            <w:tcBorders>
              <w:top w:val="nil"/>
              <w:left w:val="nil"/>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19</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原州区上下游横向生态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586.00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523.00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523.00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89.25%</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20</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西吉县上下游横向生态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623.00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587.07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587.07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94.23%</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21</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隆德县上下游横向生态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646.00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646.00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646.00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22</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泾源县上下游横向生态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493.00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493.00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493.00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23</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彭阳县上下游横向生态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647.00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647.00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Cs w:val="21"/>
                <w:lang w:bidi="ar"/>
              </w:rPr>
              <w:t xml:space="preserve">647.00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100.00%</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24</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中卫市本级上下游横向生态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830.00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25</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沙坡头区上下游横向生态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830.00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192.16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192.16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23.15%</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26</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中宁县上下游横向生态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781.00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27</w:t>
            </w:r>
          </w:p>
        </w:tc>
        <w:tc>
          <w:tcPr>
            <w:tcW w:w="2595"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海原县上下游横向生态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548.00 </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560" w:hRule="atLeast"/>
        </w:trPr>
        <w:tc>
          <w:tcPr>
            <w:tcW w:w="45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28</w:t>
            </w:r>
          </w:p>
        </w:tc>
        <w:tc>
          <w:tcPr>
            <w:tcW w:w="2595" w:type="dxa"/>
            <w:tcBorders>
              <w:top w:val="single" w:color="auto" w:sz="4" w:space="0"/>
              <w:left w:val="nil"/>
              <w:bottom w:val="single" w:color="auto" w:sz="4" w:space="0"/>
              <w:right w:val="single" w:color="auto" w:sz="4" w:space="0"/>
            </w:tcBorders>
            <w:shd w:val="clear" w:color="auto" w:fill="auto"/>
          </w:tcPr>
          <w:p>
            <w:pPr>
              <w:widowControl/>
              <w:spacing w:line="280" w:lineRule="exact"/>
              <w:jc w:val="center"/>
              <w:textAlignment w:val="top"/>
              <w:rPr>
                <w:rFonts w:ascii="Times New Roman" w:hAnsi="Times New Roman" w:eastAsia="宋体" w:cs="Times New Roman"/>
                <w:szCs w:val="21"/>
              </w:rPr>
            </w:pPr>
            <w:r>
              <w:rPr>
                <w:rStyle w:val="13"/>
                <w:rFonts w:hint="default" w:ascii="Times New Roman" w:hAnsi="Times New Roman" w:cs="Times New Roman"/>
                <w:lang w:bidi="ar"/>
              </w:rPr>
              <w:t>宁东管委会上下游横向生态</w:t>
            </w:r>
            <w:r>
              <w:rPr>
                <w:rFonts w:ascii="Times New Roman" w:hAnsi="Times New Roman" w:eastAsia="宋体" w:cs="Times New Roman"/>
                <w:color w:val="000000"/>
                <w:kern w:val="0"/>
                <w:sz w:val="22"/>
                <w:lang w:bidi="ar"/>
              </w:rPr>
              <w:t>保护</w:t>
            </w:r>
            <w:r>
              <w:rPr>
                <w:rStyle w:val="13"/>
                <w:rFonts w:hint="default" w:ascii="Times New Roman" w:hAnsi="Times New Roman" w:cs="Times New Roman"/>
                <w:lang w:bidi="ar"/>
              </w:rPr>
              <w:t>补偿资金</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rPr>
            </w:pPr>
            <w:r>
              <w:rPr>
                <w:rFonts w:ascii="Times New Roman" w:hAnsi="Times New Roman" w:eastAsia="宋体" w:cs="Times New Roman"/>
                <w:color w:val="000000"/>
                <w:kern w:val="0"/>
                <w:szCs w:val="21"/>
                <w:lang w:bidi="ar"/>
              </w:rPr>
              <w:t xml:space="preserve">929.00 </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 xml:space="preserve">0.00 </w:t>
            </w:r>
          </w:p>
        </w:tc>
        <w:tc>
          <w:tcPr>
            <w:tcW w:w="114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lang w:bidi="ar"/>
              </w:rPr>
              <w:t>0.00%</w:t>
            </w:r>
          </w:p>
        </w:tc>
      </w:tr>
      <w:tr>
        <w:tblPrEx>
          <w:tblCellMar>
            <w:top w:w="0" w:type="dxa"/>
            <w:left w:w="108" w:type="dxa"/>
            <w:bottom w:w="0" w:type="dxa"/>
            <w:right w:w="108" w:type="dxa"/>
          </w:tblCellMar>
        </w:tblPrEx>
        <w:trPr>
          <w:trHeight w:val="280" w:hRule="atLeast"/>
        </w:trPr>
        <w:tc>
          <w:tcPr>
            <w:tcW w:w="3045"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合计</w:t>
            </w:r>
          </w:p>
        </w:tc>
        <w:tc>
          <w:tcPr>
            <w:tcW w:w="1421" w:type="dxa"/>
            <w:tcBorders>
              <w:top w:val="nil"/>
              <w:left w:val="nil"/>
              <w:bottom w:val="single" w:color="auto" w:sz="12" w:space="0"/>
              <w:right w:val="single" w:color="auto" w:sz="4" w:space="0"/>
            </w:tcBorders>
            <w:shd w:val="clear" w:color="auto" w:fill="auto"/>
            <w:vAlign w:val="center"/>
          </w:tcPr>
          <w:p>
            <w:pPr>
              <w:widowControl/>
              <w:spacing w:line="280" w:lineRule="exact"/>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20000.00 </w:t>
            </w:r>
          </w:p>
        </w:tc>
        <w:tc>
          <w:tcPr>
            <w:tcW w:w="1203" w:type="dxa"/>
            <w:tcBorders>
              <w:top w:val="nil"/>
              <w:left w:val="nil"/>
              <w:bottom w:val="single" w:color="auto" w:sz="12" w:space="0"/>
              <w:right w:val="single" w:color="auto" w:sz="4" w:space="0"/>
            </w:tcBorders>
            <w:shd w:val="clear" w:color="auto" w:fill="auto"/>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0.00 </w:t>
            </w:r>
          </w:p>
        </w:tc>
        <w:tc>
          <w:tcPr>
            <w:tcW w:w="1248" w:type="dxa"/>
            <w:tcBorders>
              <w:top w:val="nil"/>
              <w:left w:val="nil"/>
              <w:bottom w:val="single" w:color="auto" w:sz="12" w:space="0"/>
              <w:right w:val="single" w:color="auto" w:sz="4" w:space="0"/>
            </w:tcBorders>
            <w:shd w:val="clear" w:color="auto" w:fill="auto"/>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7414.96 </w:t>
            </w:r>
          </w:p>
        </w:tc>
        <w:tc>
          <w:tcPr>
            <w:tcW w:w="1248" w:type="dxa"/>
            <w:tcBorders>
              <w:top w:val="nil"/>
              <w:left w:val="nil"/>
              <w:bottom w:val="single" w:color="auto" w:sz="12" w:space="0"/>
              <w:right w:val="single" w:color="auto" w:sz="4" w:space="0"/>
            </w:tcBorders>
            <w:shd w:val="clear" w:color="auto" w:fill="auto"/>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 xml:space="preserve">7414.96 </w:t>
            </w:r>
          </w:p>
        </w:tc>
        <w:tc>
          <w:tcPr>
            <w:tcW w:w="1145" w:type="dxa"/>
            <w:tcBorders>
              <w:top w:val="nil"/>
              <w:left w:val="nil"/>
              <w:bottom w:val="single" w:color="auto" w:sz="12"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lang w:bidi="ar"/>
              </w:rPr>
              <w:t>37.07%</w:t>
            </w:r>
          </w:p>
        </w:tc>
      </w:tr>
    </w:tbl>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3.项目资金管理情况分析</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在项目资金管理上，基本上符合</w:t>
      </w:r>
      <w:r>
        <w:rPr>
          <w:rFonts w:hint="eastAsia" w:ascii="Times New Roman" w:hAnsi="Times New Roman" w:eastAsia="仿宋_GB2312" w:cs="Times New Roman"/>
          <w:sz w:val="32"/>
          <w:szCs w:val="32"/>
        </w:rPr>
        <w:t>宁财（资环）指标〔</w:t>
      </w:r>
      <w:r>
        <w:rPr>
          <w:rFonts w:ascii="Times New Roman" w:hAnsi="Times New Roman" w:eastAsia="仿宋_GB2312" w:cs="Times New Roman"/>
          <w:sz w:val="32"/>
          <w:szCs w:val="32"/>
        </w:rPr>
        <w:t>2022〕600号文件和自治区关于专项资金管理的相关要求，项目实施单位建立了一定的内控管理制度，资金支付合理合规，但是部分市县未全额拨付兑现奖补资金，绝大部分市县尚未安排实施项目，致使预算执行进度缓慢，影响了项目实施绩效。</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（二）绩效目标完成情况分析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本项目绩效自评得分为各子项目绩效自评得分的算术平均数，最终得分为68.54分，各子项目绩效目标自评得分如下：</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 xml:space="preserve">表3   </w:t>
      </w:r>
      <w:r>
        <w:rPr>
          <w:rFonts w:hint="eastAsia" w:ascii="Times New Roman" w:hAnsi="Times New Roman" w:eastAsia="宋体" w:cs="Times New Roman"/>
          <w:b/>
          <w:sz w:val="28"/>
          <w:szCs w:val="28"/>
          <w:lang w:val="en-US" w:eastAsia="zh-CN"/>
        </w:rPr>
        <w:t>2022</w:t>
      </w:r>
      <w:r>
        <w:rPr>
          <w:rFonts w:ascii="Times New Roman" w:hAnsi="Times New Roman" w:eastAsia="宋体" w:cs="Times New Roman"/>
          <w:b/>
          <w:sz w:val="28"/>
          <w:szCs w:val="28"/>
        </w:rPr>
        <w:t>年黄河宁夏段干支流及重点入黄排水沟上下游横向</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生态保护补偿资金自评得分情况</w:t>
      </w:r>
    </w:p>
    <w:tbl>
      <w:tblPr>
        <w:tblStyle w:val="5"/>
        <w:tblW w:w="8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2"/>
        <w:gridCol w:w="4746"/>
        <w:gridCol w:w="1242"/>
        <w:gridCol w:w="15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tcBorders>
              <w:bottom w:val="single" w:color="auto" w:sz="6" w:space="0"/>
            </w:tcBorders>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b/>
                <w:bCs/>
                <w:sz w:val="22"/>
              </w:rPr>
              <w:t>序号</w:t>
            </w:r>
          </w:p>
        </w:tc>
        <w:tc>
          <w:tcPr>
            <w:tcW w:w="4746" w:type="dxa"/>
            <w:tcBorders>
              <w:bottom w:val="single" w:color="auto" w:sz="6" w:space="0"/>
            </w:tcBorders>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b/>
                <w:bCs/>
                <w:sz w:val="22"/>
              </w:rPr>
              <w:t>项目名称</w:t>
            </w:r>
          </w:p>
        </w:tc>
        <w:tc>
          <w:tcPr>
            <w:tcW w:w="1242" w:type="dxa"/>
            <w:tcBorders>
              <w:bottom w:val="single" w:color="auto" w:sz="6" w:space="0"/>
            </w:tcBorders>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自评得分</w:t>
            </w:r>
          </w:p>
        </w:tc>
        <w:tc>
          <w:tcPr>
            <w:tcW w:w="1525" w:type="dxa"/>
            <w:tcBorders>
              <w:bottom w:val="single" w:color="auto" w:sz="6" w:space="0"/>
            </w:tcBorders>
            <w:tcMar>
              <w:top w:w="15" w:type="dxa"/>
              <w:left w:w="15" w:type="dxa"/>
              <w:bottom w:w="15" w:type="dxa"/>
              <w:right w:w="15" w:type="dxa"/>
            </w:tcMar>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w:t>
            </w:r>
          </w:p>
        </w:tc>
        <w:tc>
          <w:tcPr>
            <w:tcW w:w="4746" w:type="dxa"/>
            <w:vAlign w:val="center"/>
          </w:tcPr>
          <w:p>
            <w:pPr>
              <w:widowControl/>
              <w:spacing w:line="280" w:lineRule="exact"/>
              <w:textAlignment w:val="center"/>
              <w:rPr>
                <w:rFonts w:ascii="Times New Roman" w:hAnsi="Times New Roman" w:eastAsia="宋体" w:cs="Times New Roman"/>
                <w:sz w:val="22"/>
              </w:rPr>
            </w:pPr>
            <w:r>
              <w:rPr>
                <w:rFonts w:ascii="Times New Roman" w:hAnsi="Times New Roman" w:eastAsia="宋体" w:cs="Times New Roman"/>
                <w:color w:val="000000"/>
                <w:kern w:val="0"/>
                <w:szCs w:val="21"/>
                <w:lang w:bidi="ar"/>
              </w:rPr>
              <w:t>银川市本级上下游横向生态保护补偿资金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兴庆区上下游横向生态保护补偿资金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95</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3</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金凤区上下游横向生态保护补偿资金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4</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西夏区上下游横向生态保护补偿资金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5</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永宁县上下游横向生态保护补偿资金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95</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6</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贺兰县上下游横向生态保护补偿资金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7</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灵武市上下游横向生态保护补偿资金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8</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石嘴山市本级上下游横向生态保护补偿资金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大武口区上下游横向生态保护补偿资金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60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惠农区上下游横向生态保护补偿资金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93</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11</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平罗县上下游横向生态保护补偿资金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12</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吴忠市本级上下游横向生态保护补偿资金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left"/>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13</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利通区上下游横向生态保护补偿资金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14</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红寺堡区上下游横向生态保护补偿资金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15</w:t>
            </w:r>
          </w:p>
        </w:tc>
        <w:tc>
          <w:tcPr>
            <w:tcW w:w="4746" w:type="dxa"/>
            <w:tcBorders>
              <w:top w:val="nil"/>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青铜峡市上下游横向生态保护补偿资金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16</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盐池县上下游横向生态保护补偿资金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17</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同心县上下游横向生态保护补偿资金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91</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18</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固原市本级上下游横向生态保护补偿资金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19</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原州区上下游横向生态保护补偿资金</w:t>
            </w:r>
          </w:p>
        </w:tc>
        <w:tc>
          <w:tcPr>
            <w:tcW w:w="1242" w:type="dxa"/>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20</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西吉县上下游横向生态保护补偿资金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93</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21</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隆德县上下游横向生态保护补偿资金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95</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22</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泾源县上下游横向生态保护补偿资金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98</w:t>
            </w:r>
          </w:p>
        </w:tc>
        <w:tc>
          <w:tcPr>
            <w:tcW w:w="1525" w:type="dxa"/>
            <w:tcMar>
              <w:top w:w="15" w:type="dxa"/>
              <w:left w:w="15" w:type="dxa"/>
              <w:bottom w:w="15" w:type="dxa"/>
              <w:right w:w="15" w:type="dxa"/>
            </w:tcMar>
            <w:vAlign w:val="center"/>
          </w:tcPr>
          <w:p>
            <w:pPr>
              <w:widowControl/>
              <w:spacing w:line="280" w:lineRule="exact"/>
              <w:jc w:val="left"/>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23</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彭阳县上下游横向生态保护补偿资金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50</w:t>
            </w:r>
          </w:p>
        </w:tc>
        <w:tc>
          <w:tcPr>
            <w:tcW w:w="1525" w:type="dxa"/>
            <w:tcMar>
              <w:top w:w="15" w:type="dxa"/>
              <w:left w:w="15" w:type="dxa"/>
              <w:bottom w:w="15" w:type="dxa"/>
              <w:right w:w="15" w:type="dxa"/>
            </w:tcMar>
            <w:vAlign w:val="center"/>
          </w:tcPr>
          <w:p>
            <w:pPr>
              <w:widowControl/>
              <w:spacing w:line="280" w:lineRule="exact"/>
              <w:jc w:val="left"/>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24</w:t>
            </w:r>
          </w:p>
        </w:tc>
        <w:tc>
          <w:tcPr>
            <w:tcW w:w="4746"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中卫市本级上下游横向生态保护补偿资金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25</w:t>
            </w:r>
          </w:p>
        </w:tc>
        <w:tc>
          <w:tcPr>
            <w:tcW w:w="4746" w:type="dxa"/>
            <w:tcBorders>
              <w:top w:val="single" w:color="auto" w:sz="4" w:space="0"/>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沙坡头区上下游横向生态保护补偿资金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97</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26</w:t>
            </w:r>
          </w:p>
        </w:tc>
        <w:tc>
          <w:tcPr>
            <w:tcW w:w="4746" w:type="dxa"/>
            <w:tcBorders>
              <w:top w:val="single" w:color="auto" w:sz="4" w:space="0"/>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中宁县上下游横向生态保护补偿资金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27</w:t>
            </w:r>
          </w:p>
        </w:tc>
        <w:tc>
          <w:tcPr>
            <w:tcW w:w="4746" w:type="dxa"/>
            <w:tcBorders>
              <w:top w:val="single" w:color="auto" w:sz="4" w:space="0"/>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海原县上下游横向生态保护补偿资金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28</w:t>
            </w:r>
          </w:p>
        </w:tc>
        <w:tc>
          <w:tcPr>
            <w:tcW w:w="4746" w:type="dxa"/>
            <w:tcBorders>
              <w:top w:val="single" w:color="auto" w:sz="4" w:space="0"/>
              <w:left w:val="nil"/>
              <w:bottom w:val="single" w:color="auto" w:sz="4" w:space="0"/>
              <w:right w:val="single" w:color="auto" w:sz="4" w:space="0"/>
            </w:tcBorders>
            <w:shd w:val="clear" w:color="auto" w:fill="auto"/>
          </w:tcPr>
          <w:p>
            <w:pPr>
              <w:widowControl/>
              <w:spacing w:line="280" w:lineRule="exact"/>
              <w:jc w:val="left"/>
              <w:textAlignment w:val="top"/>
              <w:rPr>
                <w:rFonts w:ascii="Times New Roman" w:hAnsi="Times New Roman" w:eastAsia="宋体" w:cs="Times New Roman"/>
                <w:szCs w:val="21"/>
              </w:rPr>
            </w:pPr>
            <w:r>
              <w:rPr>
                <w:rFonts w:ascii="Times New Roman" w:hAnsi="Times New Roman" w:eastAsia="宋体" w:cs="Times New Roman"/>
                <w:color w:val="000000"/>
                <w:kern w:val="0"/>
                <w:szCs w:val="21"/>
                <w:lang w:bidi="ar"/>
              </w:rPr>
              <w:t>宁东管委会上下游横向生态保护补偿资金</w:t>
            </w:r>
          </w:p>
        </w:tc>
        <w:tc>
          <w:tcPr>
            <w:tcW w:w="1242" w:type="dxa"/>
            <w:tcBorders>
              <w:bottom w:val="single" w:color="auto" w:sz="4" w:space="0"/>
            </w:tcBorders>
            <w:vAlign w:val="center"/>
          </w:tcPr>
          <w:p>
            <w:pPr>
              <w:widowControl/>
              <w:spacing w:line="28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0</w:t>
            </w:r>
          </w:p>
        </w:tc>
        <w:tc>
          <w:tcPr>
            <w:tcW w:w="1525" w:type="dxa"/>
            <w:tcMar>
              <w:top w:w="15" w:type="dxa"/>
              <w:left w:w="15" w:type="dxa"/>
              <w:bottom w:w="15" w:type="dxa"/>
              <w:right w:w="15" w:type="dxa"/>
            </w:tcMar>
            <w:vAlign w:val="center"/>
          </w:tcPr>
          <w:p>
            <w:pPr>
              <w:widowControl/>
              <w:spacing w:line="280" w:lineRule="exact"/>
              <w:jc w:val="center"/>
              <w:rPr>
                <w:rFonts w:ascii="Times New Roman" w:hAnsi="Times New Roman"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8" w:type="dxa"/>
            <w:gridSpan w:val="2"/>
            <w:vAlign w:val="center"/>
          </w:tcPr>
          <w:p>
            <w:pPr>
              <w:widowControl/>
              <w:spacing w:line="280" w:lineRule="exact"/>
              <w:jc w:val="center"/>
              <w:textAlignment w:val="center"/>
              <w:rPr>
                <w:rFonts w:ascii="Times New Roman" w:hAnsi="Times New Roman" w:eastAsia="宋体" w:cs="Times New Roman"/>
                <w:b/>
                <w:sz w:val="22"/>
              </w:rPr>
            </w:pPr>
            <w:r>
              <w:rPr>
                <w:rFonts w:ascii="Times New Roman" w:hAnsi="Times New Roman" w:eastAsia="宋体" w:cs="Times New Roman"/>
                <w:b/>
                <w:color w:val="000000"/>
                <w:kern w:val="0"/>
                <w:sz w:val="22"/>
                <w:lang w:bidi="ar"/>
              </w:rPr>
              <w:t>平均得分</w:t>
            </w:r>
          </w:p>
        </w:tc>
        <w:tc>
          <w:tcPr>
            <w:tcW w:w="1242" w:type="dxa"/>
            <w:vAlign w:val="center"/>
          </w:tcPr>
          <w:p>
            <w:pPr>
              <w:widowControl/>
              <w:spacing w:line="280" w:lineRule="exact"/>
              <w:jc w:val="center"/>
              <w:textAlignment w:val="center"/>
              <w:rPr>
                <w:rFonts w:ascii="Times New Roman" w:hAnsi="Times New Roman" w:eastAsia="宋体" w:cs="Times New Roman"/>
                <w:b/>
                <w:sz w:val="22"/>
                <w:highlight w:val="yellow"/>
              </w:rPr>
            </w:pPr>
            <w:r>
              <w:rPr>
                <w:rFonts w:ascii="Times New Roman" w:hAnsi="Times New Roman" w:eastAsia="宋体" w:cs="Times New Roman"/>
                <w:b/>
                <w:color w:val="000000"/>
                <w:kern w:val="0"/>
                <w:sz w:val="22"/>
                <w:lang w:bidi="ar"/>
              </w:rPr>
              <w:t xml:space="preserve">68.54 </w:t>
            </w:r>
          </w:p>
        </w:tc>
        <w:tc>
          <w:tcPr>
            <w:tcW w:w="1525" w:type="dxa"/>
            <w:tcMar>
              <w:top w:w="15" w:type="dxa"/>
              <w:left w:w="15" w:type="dxa"/>
              <w:bottom w:w="15" w:type="dxa"/>
              <w:right w:w="15" w:type="dxa"/>
            </w:tcMar>
            <w:vAlign w:val="center"/>
          </w:tcPr>
          <w:p>
            <w:pPr>
              <w:widowControl/>
              <w:spacing w:line="280" w:lineRule="exact"/>
              <w:rPr>
                <w:rFonts w:ascii="Times New Roman" w:hAnsi="Times New Roman" w:eastAsia="宋体" w:cs="Times New Roman"/>
                <w:sz w:val="22"/>
                <w:highlight w:val="yellow"/>
              </w:rPr>
            </w:pPr>
          </w:p>
        </w:tc>
      </w:tr>
    </w:tbl>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各市县子项目绩效目标自评表详见附表。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三、偏离绩效目标的原因和下一步改进措施</w:t>
      </w:r>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（一）偏离绩效目标的主要因素</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一是市县资金到位率未达到100%，个别市县未全额拨付横向生态补偿资金，存在</w:t>
      </w:r>
      <w:r>
        <w:rPr>
          <w:rFonts w:hint="eastAsia" w:ascii="Times New Roman" w:hAnsi="Times New Roman" w:eastAsia="仿宋_GB2312" w:cs="Times New Roman"/>
          <w:sz w:val="32"/>
          <w:szCs w:val="32"/>
        </w:rPr>
        <w:t>延迟拨付或未</w:t>
      </w:r>
      <w:r>
        <w:rPr>
          <w:rFonts w:ascii="Times New Roman" w:hAnsi="Times New Roman" w:eastAsia="仿宋_GB2312" w:cs="Times New Roman"/>
          <w:sz w:val="32"/>
          <w:szCs w:val="32"/>
        </w:rPr>
        <w:t>兑现补偿资金现象；二是资金使用方向不明确，即对横向生态保护补偿资金没有明确使用项目及使用范围，资金分配方案制定迟缓，致使绩效目标不明确；三是资金支付率低，总体支付率仅为37.07%，有15个市、县（区）资金支付率为0，影响了资金使用效用。</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（二）下一步改进措施</w:t>
      </w:r>
    </w:p>
    <w:p>
      <w:pPr>
        <w:spacing w:line="600" w:lineRule="exact"/>
        <w:ind w:firstLine="645"/>
        <w:rPr>
          <w:rFonts w:ascii="Times New Roman" w:hAnsi="Times New Roman" w:eastAsia="黑体" w:cs="Times New Roman"/>
          <w:sz w:val="32"/>
          <w:szCs w:val="32"/>
        </w:rPr>
      </w:pPr>
      <w:r>
        <w:rPr>
          <w:rFonts w:ascii="Times New Roman" w:hAnsi="Times New Roman" w:eastAsia="仿宋_GB2312" w:cs="Times New Roman"/>
          <w:sz w:val="32"/>
          <w:szCs w:val="32"/>
        </w:rPr>
        <w:t>对于个别市县未能到位的资金，及时与当地财政部门核实并明确相关责任；对于项目实施缓慢造成资金结转的项目，督促项目单位和主管单位加快实施进度，按季度调度项目执行情况；对于项目已实施完毕，部分绩效目标值相对偏低致使项目总体评分低于85分的，在今后的其他专项资金安排和项目评审中要相应核减；对于资金支出进度报备不及时的情况，督促各项目主管单位和实施单位按季度报备资金支出进度。</w:t>
      </w:r>
    </w:p>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四、绩效自评结果拟应用和公开情况</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一是反馈整改。</w:t>
      </w:r>
      <w:r>
        <w:rPr>
          <w:rFonts w:ascii="Times New Roman" w:hAnsi="Times New Roman" w:eastAsia="仿宋_GB2312" w:cs="Times New Roman"/>
          <w:sz w:val="32"/>
          <w:szCs w:val="32"/>
        </w:rPr>
        <w:t>绩效自评工作完成后，及时整理、归纳、分析绩效评价结果，将评价结果及时反馈被评价的项目单位，作为改进预算管理和安排以后年度预算的重要依据。项目单位根据绩效评价结果，改进管理措施，完善管理办法，调整和优化资金支出结构，对绩效评价中发现的问题及时制定整改措施。</w:t>
      </w:r>
    </w:p>
    <w:p>
      <w:pPr>
        <w:adjustRightInd w:val="0"/>
        <w:snapToGrid w:val="0"/>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二是考核通报。</w:t>
      </w:r>
      <w:r>
        <w:rPr>
          <w:rFonts w:ascii="Times New Roman" w:hAnsi="Times New Roman" w:eastAsia="仿宋_GB2312" w:cs="Times New Roman"/>
          <w:sz w:val="32"/>
          <w:szCs w:val="32"/>
        </w:rPr>
        <w:t>自治区生态环境厅将绩效自评开展情况汇总后报自治区财政厅，并最终根据委托第三方评价的结果进行通报。绩效评价工作质量及评价结果将作为以后年度安排专项资金的重要参考。</w:t>
      </w:r>
    </w:p>
    <w:p>
      <w:pPr>
        <w:adjustRightInd w:val="0"/>
        <w:snapToGrid w:val="0"/>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三是信息公开。</w:t>
      </w:r>
      <w:r>
        <w:rPr>
          <w:rFonts w:ascii="Times New Roman" w:hAnsi="Times New Roman" w:eastAsia="仿宋_GB2312" w:cs="Times New Roman"/>
          <w:sz w:val="32"/>
          <w:szCs w:val="32"/>
        </w:rPr>
        <w:t>绩效自评结果按照政府信息公开的有关规定，在一定范围内公开。</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附表：2022年黄河宁夏段干支流及重点入黄排水沟上下游</w:t>
      </w:r>
    </w:p>
    <w:p>
      <w:pPr>
        <w:adjustRightInd w:val="0"/>
        <w:snapToGrid w:val="0"/>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横向生态保护补偿</w:t>
      </w:r>
      <w:r>
        <w:rPr>
          <w:rFonts w:hint="eastAsia" w:ascii="Times New Roman" w:hAnsi="Times New Roman" w:eastAsia="仿宋_GB2312" w:cs="Times New Roman"/>
          <w:sz w:val="32"/>
          <w:szCs w:val="32"/>
          <w:lang w:eastAsia="zh-CN"/>
        </w:rPr>
        <w:t>资金</w:t>
      </w:r>
      <w:bookmarkStart w:id="0" w:name="_GoBack"/>
      <w:bookmarkEnd w:id="0"/>
      <w:r>
        <w:rPr>
          <w:rFonts w:ascii="Times New Roman" w:hAnsi="Times New Roman" w:eastAsia="仿宋_GB2312" w:cs="Times New Roman"/>
          <w:sz w:val="32"/>
          <w:szCs w:val="32"/>
        </w:rPr>
        <w:t>绩效自评表（28份）</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374879"/>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267C2"/>
    <w:multiLevelType w:val="multilevel"/>
    <w:tmpl w:val="7BD267C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28"/>
    <w:rsid w:val="00001352"/>
    <w:rsid w:val="000152B9"/>
    <w:rsid w:val="0005396C"/>
    <w:rsid w:val="00055D4B"/>
    <w:rsid w:val="0006391A"/>
    <w:rsid w:val="000667D8"/>
    <w:rsid w:val="000732DF"/>
    <w:rsid w:val="000B0DF7"/>
    <w:rsid w:val="000F7E54"/>
    <w:rsid w:val="00105F15"/>
    <w:rsid w:val="00115E02"/>
    <w:rsid w:val="00125549"/>
    <w:rsid w:val="001257FD"/>
    <w:rsid w:val="001361CB"/>
    <w:rsid w:val="00147EC1"/>
    <w:rsid w:val="001509A3"/>
    <w:rsid w:val="00153024"/>
    <w:rsid w:val="00156C55"/>
    <w:rsid w:val="00176F3F"/>
    <w:rsid w:val="00182E69"/>
    <w:rsid w:val="001B068E"/>
    <w:rsid w:val="001D166D"/>
    <w:rsid w:val="00201097"/>
    <w:rsid w:val="002010F3"/>
    <w:rsid w:val="002206B4"/>
    <w:rsid w:val="00220ADE"/>
    <w:rsid w:val="00237C76"/>
    <w:rsid w:val="00241440"/>
    <w:rsid w:val="00251672"/>
    <w:rsid w:val="00260C50"/>
    <w:rsid w:val="00263EB5"/>
    <w:rsid w:val="00265B16"/>
    <w:rsid w:val="00266226"/>
    <w:rsid w:val="00272785"/>
    <w:rsid w:val="0027363F"/>
    <w:rsid w:val="00287DB4"/>
    <w:rsid w:val="00287FBC"/>
    <w:rsid w:val="002C5441"/>
    <w:rsid w:val="002E40EC"/>
    <w:rsid w:val="002F28FA"/>
    <w:rsid w:val="003028D6"/>
    <w:rsid w:val="00313ED4"/>
    <w:rsid w:val="003162CF"/>
    <w:rsid w:val="003204B9"/>
    <w:rsid w:val="00337931"/>
    <w:rsid w:val="00343A96"/>
    <w:rsid w:val="00345724"/>
    <w:rsid w:val="00347130"/>
    <w:rsid w:val="003A409B"/>
    <w:rsid w:val="003A7E17"/>
    <w:rsid w:val="003B000F"/>
    <w:rsid w:val="003B249D"/>
    <w:rsid w:val="003D54B7"/>
    <w:rsid w:val="003F1445"/>
    <w:rsid w:val="003F1AE8"/>
    <w:rsid w:val="004061A7"/>
    <w:rsid w:val="00415635"/>
    <w:rsid w:val="00417374"/>
    <w:rsid w:val="0042041D"/>
    <w:rsid w:val="004348ED"/>
    <w:rsid w:val="0044476A"/>
    <w:rsid w:val="00446545"/>
    <w:rsid w:val="00447428"/>
    <w:rsid w:val="00450528"/>
    <w:rsid w:val="00487629"/>
    <w:rsid w:val="00495E56"/>
    <w:rsid w:val="004970E7"/>
    <w:rsid w:val="004A1A08"/>
    <w:rsid w:val="004B11F5"/>
    <w:rsid w:val="004B2820"/>
    <w:rsid w:val="004B3C2E"/>
    <w:rsid w:val="004B3E44"/>
    <w:rsid w:val="004B4D57"/>
    <w:rsid w:val="004B7344"/>
    <w:rsid w:val="004C0F4B"/>
    <w:rsid w:val="004C2E25"/>
    <w:rsid w:val="004C3789"/>
    <w:rsid w:val="004D5100"/>
    <w:rsid w:val="004E422D"/>
    <w:rsid w:val="00506DDB"/>
    <w:rsid w:val="00507145"/>
    <w:rsid w:val="00507F5B"/>
    <w:rsid w:val="00511E24"/>
    <w:rsid w:val="005200BB"/>
    <w:rsid w:val="00531216"/>
    <w:rsid w:val="0056224E"/>
    <w:rsid w:val="00566820"/>
    <w:rsid w:val="00570C7C"/>
    <w:rsid w:val="005759C4"/>
    <w:rsid w:val="005800B7"/>
    <w:rsid w:val="005A1891"/>
    <w:rsid w:val="005E580B"/>
    <w:rsid w:val="005F3EF5"/>
    <w:rsid w:val="0061297A"/>
    <w:rsid w:val="00631D25"/>
    <w:rsid w:val="0063483F"/>
    <w:rsid w:val="00650578"/>
    <w:rsid w:val="00652874"/>
    <w:rsid w:val="00664B7C"/>
    <w:rsid w:val="00665C45"/>
    <w:rsid w:val="00671011"/>
    <w:rsid w:val="00673464"/>
    <w:rsid w:val="0067482E"/>
    <w:rsid w:val="00680B33"/>
    <w:rsid w:val="00692669"/>
    <w:rsid w:val="00693261"/>
    <w:rsid w:val="006A4911"/>
    <w:rsid w:val="006D7BD2"/>
    <w:rsid w:val="006E3AD4"/>
    <w:rsid w:val="006E5921"/>
    <w:rsid w:val="006F61B6"/>
    <w:rsid w:val="006F7959"/>
    <w:rsid w:val="00706143"/>
    <w:rsid w:val="00711560"/>
    <w:rsid w:val="00715926"/>
    <w:rsid w:val="007233EB"/>
    <w:rsid w:val="007305A8"/>
    <w:rsid w:val="00767A4F"/>
    <w:rsid w:val="00775694"/>
    <w:rsid w:val="007937B8"/>
    <w:rsid w:val="007B0180"/>
    <w:rsid w:val="007B5D62"/>
    <w:rsid w:val="007B7A2A"/>
    <w:rsid w:val="007C3141"/>
    <w:rsid w:val="007C3428"/>
    <w:rsid w:val="007C7473"/>
    <w:rsid w:val="007E7565"/>
    <w:rsid w:val="007F4CE8"/>
    <w:rsid w:val="00801903"/>
    <w:rsid w:val="00811AFF"/>
    <w:rsid w:val="00831E67"/>
    <w:rsid w:val="00854FF9"/>
    <w:rsid w:val="0086054D"/>
    <w:rsid w:val="00861886"/>
    <w:rsid w:val="00861F5C"/>
    <w:rsid w:val="008733DA"/>
    <w:rsid w:val="00877B0F"/>
    <w:rsid w:val="00881C46"/>
    <w:rsid w:val="00885624"/>
    <w:rsid w:val="00891A82"/>
    <w:rsid w:val="00892834"/>
    <w:rsid w:val="008A3B55"/>
    <w:rsid w:val="008A3E8A"/>
    <w:rsid w:val="008B2A0A"/>
    <w:rsid w:val="008D488A"/>
    <w:rsid w:val="009009AD"/>
    <w:rsid w:val="00910425"/>
    <w:rsid w:val="0091057C"/>
    <w:rsid w:val="00914817"/>
    <w:rsid w:val="009160A2"/>
    <w:rsid w:val="00917531"/>
    <w:rsid w:val="009328D6"/>
    <w:rsid w:val="0094187A"/>
    <w:rsid w:val="00942D9D"/>
    <w:rsid w:val="009471E6"/>
    <w:rsid w:val="00962467"/>
    <w:rsid w:val="009657C2"/>
    <w:rsid w:val="009677FA"/>
    <w:rsid w:val="00992F39"/>
    <w:rsid w:val="009A1902"/>
    <w:rsid w:val="009B0335"/>
    <w:rsid w:val="009B250A"/>
    <w:rsid w:val="009B3F60"/>
    <w:rsid w:val="009B6723"/>
    <w:rsid w:val="009C257E"/>
    <w:rsid w:val="009D0A9E"/>
    <w:rsid w:val="009D0DA1"/>
    <w:rsid w:val="009E153F"/>
    <w:rsid w:val="009F0C39"/>
    <w:rsid w:val="009F1409"/>
    <w:rsid w:val="009F2367"/>
    <w:rsid w:val="00A3481D"/>
    <w:rsid w:val="00A351C3"/>
    <w:rsid w:val="00A55728"/>
    <w:rsid w:val="00A66871"/>
    <w:rsid w:val="00A92255"/>
    <w:rsid w:val="00AA2C92"/>
    <w:rsid w:val="00AA50A7"/>
    <w:rsid w:val="00AA73F6"/>
    <w:rsid w:val="00AB245A"/>
    <w:rsid w:val="00AB2ECE"/>
    <w:rsid w:val="00AB7BD0"/>
    <w:rsid w:val="00AB7EB6"/>
    <w:rsid w:val="00AC1638"/>
    <w:rsid w:val="00AD07BA"/>
    <w:rsid w:val="00AE6BD3"/>
    <w:rsid w:val="00B3660F"/>
    <w:rsid w:val="00B41575"/>
    <w:rsid w:val="00B615EC"/>
    <w:rsid w:val="00B62CCD"/>
    <w:rsid w:val="00B673CC"/>
    <w:rsid w:val="00B71509"/>
    <w:rsid w:val="00B769BF"/>
    <w:rsid w:val="00BB3CDB"/>
    <w:rsid w:val="00BB6736"/>
    <w:rsid w:val="00BC46FF"/>
    <w:rsid w:val="00C0000E"/>
    <w:rsid w:val="00C01EA6"/>
    <w:rsid w:val="00C20EE9"/>
    <w:rsid w:val="00C30CCA"/>
    <w:rsid w:val="00C33F20"/>
    <w:rsid w:val="00C53974"/>
    <w:rsid w:val="00C56178"/>
    <w:rsid w:val="00C71430"/>
    <w:rsid w:val="00C7169D"/>
    <w:rsid w:val="00C75A15"/>
    <w:rsid w:val="00C866CB"/>
    <w:rsid w:val="00C86A4F"/>
    <w:rsid w:val="00C9326E"/>
    <w:rsid w:val="00CB256E"/>
    <w:rsid w:val="00CB3C8D"/>
    <w:rsid w:val="00CD7505"/>
    <w:rsid w:val="00CE66E8"/>
    <w:rsid w:val="00D00C48"/>
    <w:rsid w:val="00D033FF"/>
    <w:rsid w:val="00D04D8B"/>
    <w:rsid w:val="00D10286"/>
    <w:rsid w:val="00D15303"/>
    <w:rsid w:val="00D277AA"/>
    <w:rsid w:val="00D27DFD"/>
    <w:rsid w:val="00D41F04"/>
    <w:rsid w:val="00D843DF"/>
    <w:rsid w:val="00DA53AB"/>
    <w:rsid w:val="00DB05DE"/>
    <w:rsid w:val="00DC375C"/>
    <w:rsid w:val="00DC464E"/>
    <w:rsid w:val="00DC4823"/>
    <w:rsid w:val="00DE53AB"/>
    <w:rsid w:val="00E008AA"/>
    <w:rsid w:val="00E10888"/>
    <w:rsid w:val="00E33660"/>
    <w:rsid w:val="00E353D8"/>
    <w:rsid w:val="00E63ED4"/>
    <w:rsid w:val="00E755A4"/>
    <w:rsid w:val="00E801ED"/>
    <w:rsid w:val="00E80624"/>
    <w:rsid w:val="00E8195C"/>
    <w:rsid w:val="00EA7570"/>
    <w:rsid w:val="00EC3580"/>
    <w:rsid w:val="00EC72B5"/>
    <w:rsid w:val="00EE1411"/>
    <w:rsid w:val="00EE17FC"/>
    <w:rsid w:val="00EF1709"/>
    <w:rsid w:val="00EF435A"/>
    <w:rsid w:val="00EF6337"/>
    <w:rsid w:val="00F12F0E"/>
    <w:rsid w:val="00F17C43"/>
    <w:rsid w:val="00F320BD"/>
    <w:rsid w:val="00F41A7C"/>
    <w:rsid w:val="00F56B93"/>
    <w:rsid w:val="00F61E07"/>
    <w:rsid w:val="00F64753"/>
    <w:rsid w:val="00F705DE"/>
    <w:rsid w:val="00F912DE"/>
    <w:rsid w:val="00F93F40"/>
    <w:rsid w:val="00F974E8"/>
    <w:rsid w:val="00FA57F5"/>
    <w:rsid w:val="00FA65C5"/>
    <w:rsid w:val="00FB75F0"/>
    <w:rsid w:val="00FC2880"/>
    <w:rsid w:val="1BF38683"/>
    <w:rsid w:val="24AF3637"/>
    <w:rsid w:val="47A72439"/>
    <w:rsid w:val="58E7F1A2"/>
    <w:rsid w:val="5FF9B1B5"/>
    <w:rsid w:val="71DB7316"/>
    <w:rsid w:val="7FBEB026"/>
    <w:rsid w:val="9AFBE7CB"/>
    <w:rsid w:val="B197A856"/>
    <w:rsid w:val="BFDB945D"/>
    <w:rsid w:val="DFDF64BF"/>
    <w:rsid w:val="EF877DEC"/>
    <w:rsid w:val="FBF7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character" w:customStyle="1" w:styleId="11">
    <w:name w:val="font21"/>
    <w:basedOn w:val="6"/>
    <w:qFormat/>
    <w:uiPriority w:val="0"/>
    <w:rPr>
      <w:rFonts w:hint="eastAsia" w:ascii="宋体" w:hAnsi="宋体" w:eastAsia="宋体" w:cs="宋体"/>
      <w:color w:val="000000"/>
      <w:sz w:val="22"/>
      <w:szCs w:val="22"/>
      <w:u w:val="none"/>
    </w:rPr>
  </w:style>
  <w:style w:type="character" w:customStyle="1" w:styleId="12">
    <w:name w:val="font31"/>
    <w:basedOn w:val="6"/>
    <w:qFormat/>
    <w:uiPriority w:val="0"/>
    <w:rPr>
      <w:rFonts w:hint="eastAsia" w:ascii="宋体" w:hAnsi="宋体" w:eastAsia="宋体" w:cs="宋体"/>
      <w:color w:val="000000"/>
      <w:sz w:val="21"/>
      <w:szCs w:val="21"/>
      <w:u w:val="none"/>
    </w:rPr>
  </w:style>
  <w:style w:type="character" w:customStyle="1" w:styleId="13">
    <w:name w:val="font1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1009</Words>
  <Characters>5753</Characters>
  <Lines>47</Lines>
  <Paragraphs>13</Paragraphs>
  <TotalTime>7</TotalTime>
  <ScaleCrop>false</ScaleCrop>
  <LinksUpToDate>false</LinksUpToDate>
  <CharactersWithSpaces>6749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2021-03-12T16:47:00Z</dcterms:created>
  <dc:creator>张守君</dc:creator>
  <cp:lastModifiedBy>a1419</cp:lastModifiedBy>
  <cp:lastPrinted>2021-03-21T23:44:00Z</cp:lastPrinted>
  <dcterms:modified xsi:type="dcterms:W3CDTF">2023-05-25T09:38:45Z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