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Times New Roman" w:hAnsi="方正小标宋_GBK" w:eastAsia="方正小标宋_GBK" w:cs="Times New Roman"/>
          <w:color w:val="000000" w:themeColor="text1"/>
          <w:spacing w:val="-6"/>
          <w:sz w:val="44"/>
          <w:szCs w:val="44"/>
          <w:lang w:eastAsia="zh-CN"/>
        </w:rPr>
      </w:pPr>
      <w:r>
        <w:rPr>
          <w:rFonts w:ascii="Times New Roman" w:hAnsi="方正小标宋_GBK" w:eastAsia="方正小标宋_GBK" w:cs="Times New Roman"/>
          <w:color w:val="000000" w:themeColor="text1"/>
          <w:spacing w:val="-6"/>
          <w:sz w:val="44"/>
          <w:szCs w:val="44"/>
        </w:rPr>
        <w:t>关于加强一般工业</w:t>
      </w:r>
      <w:r>
        <w:rPr>
          <w:rFonts w:hint="eastAsia" w:ascii="Times New Roman" w:hAnsi="方正小标宋_GBK" w:eastAsia="方正小标宋_GBK" w:cs="Times New Roman"/>
          <w:color w:val="000000" w:themeColor="text1"/>
          <w:spacing w:val="-6"/>
          <w:sz w:val="44"/>
          <w:szCs w:val="44"/>
          <w:lang w:eastAsia="zh-CN"/>
        </w:rPr>
        <w:t>固体废物</w:t>
      </w:r>
    </w:p>
    <w:p>
      <w:pPr>
        <w:snapToGrid w:val="0"/>
        <w:spacing w:line="600" w:lineRule="exact"/>
        <w:jc w:val="center"/>
        <w:rPr>
          <w:rFonts w:ascii="Times New Roman" w:hAnsi="方正小标宋_GBK" w:eastAsia="方正小标宋_GBK" w:cs="Times New Roman"/>
          <w:color w:val="000000" w:themeColor="text1"/>
          <w:spacing w:val="-6"/>
          <w:sz w:val="44"/>
          <w:szCs w:val="44"/>
        </w:rPr>
      </w:pPr>
      <w:r>
        <w:rPr>
          <w:rFonts w:hint="eastAsia" w:ascii="Times New Roman" w:hAnsi="方正小标宋_GBK" w:eastAsia="方正小标宋_GBK" w:cs="Times New Roman"/>
          <w:color w:val="000000" w:themeColor="text1"/>
          <w:spacing w:val="-6"/>
          <w:sz w:val="44"/>
          <w:szCs w:val="44"/>
          <w:lang w:eastAsia="zh-CN"/>
        </w:rPr>
        <w:t>临时堆放</w:t>
      </w:r>
      <w:r>
        <w:rPr>
          <w:rFonts w:ascii="Times New Roman" w:hAnsi="方正小标宋_GBK" w:eastAsia="方正小标宋_GBK" w:cs="Times New Roman"/>
          <w:color w:val="000000" w:themeColor="text1"/>
          <w:spacing w:val="-6"/>
          <w:sz w:val="44"/>
          <w:szCs w:val="44"/>
        </w:rPr>
        <w:t>管理的通知</w:t>
      </w:r>
    </w:p>
    <w:p>
      <w:pPr>
        <w:snapToGrid w:val="0"/>
        <w:spacing w:line="600" w:lineRule="exact"/>
        <w:jc w:val="center"/>
        <w:rPr>
          <w:rFonts w:hint="eastAsia" w:ascii="楷体_GB2312" w:hAnsi="楷体_GB2312" w:eastAsia="楷体_GB2312" w:cs="楷体_GB2312"/>
          <w:color w:val="000000" w:themeColor="text1"/>
          <w:spacing w:val="-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-6"/>
          <w:sz w:val="32"/>
          <w:szCs w:val="32"/>
          <w:lang w:eastAsia="zh-CN"/>
        </w:rPr>
        <w:t>（征求意见稿）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为规范一般工业固体废物（以下简称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一般工业固废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）临时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堆放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行为，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提升企业资源化利用转运效率，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遏制无序堆放、随意倾倒、违规贮存等环境违法行为，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守牢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生态环境安全底线，现就有关事项通知如下：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一、统筹规划布局，规范建设集中贮存设施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（一）科学规划建设。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一般工业固废集中贮存场所以工业园区为主要载体，结合区域产业特点、产废规模、运输半径及环境承载力，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由工业园区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统筹规划建设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，可指定第三方作为贮存运营主体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，试点推行集中收运、统一暂存、分类管理模式，重点保障园区内小微企业、零散产废单位临时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堆放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（二）严格建设标准。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集中贮存场所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</w:rPr>
        <w:t>建设应依法开展环境影响评价，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根据贮存种类，严格按照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《一般工业固体废物贮存和填埋污染控制标准》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要求，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配套建设防扬散、防流失、防渗漏等污染防治设施，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一般应包括防渗、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渗滤液收集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导排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、雨水导排、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环境监测、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无组织废气处理等系统。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（三）规范</w:t>
      </w:r>
      <w:r>
        <w:rPr>
          <w:rFonts w:hint="eastAsia" w:ascii="楷体_GB2312" w:hAnsi="仿宋_GB2312" w:eastAsia="楷体_GB2312" w:cs="Times New Roman"/>
          <w:b/>
          <w:bCs/>
          <w:color w:val="000000" w:themeColor="text1"/>
          <w:sz w:val="32"/>
          <w:szCs w:val="32"/>
          <w:lang w:eastAsia="zh-CN"/>
        </w:rPr>
        <w:t>堆放</w:t>
      </w: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管理。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集中贮存场所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需取得排污许可证；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严格按固体废物种类、理化特性分区堆放，规范设置标识牌；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制定监测方案，开展自行监测；贮存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区、出入口、磅房等关键区域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可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安装视频监控系统，实现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24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小时实时监控。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二、实施错期调</w:t>
      </w:r>
      <w:r>
        <w:rPr>
          <w:rFonts w:hint="eastAsia" w:ascii="Times New Roman" w:hAnsi="黑体" w:eastAsia="黑体" w:cs="Times New Roman"/>
          <w:color w:val="000000" w:themeColor="text1"/>
          <w:sz w:val="32"/>
          <w:szCs w:val="32"/>
          <w:lang w:eastAsia="zh-CN"/>
        </w:rPr>
        <w:t>控</w:t>
      </w:r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，从严管控</w:t>
      </w:r>
      <w:r>
        <w:rPr>
          <w:rFonts w:hint="eastAsia" w:ascii="Times New Roman" w:hAnsi="黑体" w:eastAsia="黑体" w:cs="Times New Roman"/>
          <w:color w:val="000000" w:themeColor="text1"/>
          <w:sz w:val="32"/>
          <w:szCs w:val="32"/>
          <w:lang w:eastAsia="zh-CN"/>
        </w:rPr>
        <w:t>临时贮存</w:t>
      </w:r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（一）</w:t>
      </w:r>
      <w:r>
        <w:rPr>
          <w:rFonts w:hint="eastAsia" w:ascii="楷体_GB2312" w:hAnsi="仿宋_GB2312" w:eastAsia="楷体_GB2312" w:cs="Times New Roman"/>
          <w:b/>
          <w:bCs/>
          <w:color w:val="000000" w:themeColor="text1"/>
          <w:sz w:val="32"/>
          <w:szCs w:val="32"/>
          <w:lang w:eastAsia="zh-CN"/>
        </w:rPr>
        <w:t>规范临时贮存</w:t>
      </w: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无法及时综合利用的一般工业固废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（一般工业固废类废盐除外），可由产废单位严格落实生态环境保护相关规定，自行建设临时贮存设施，待利用途径通畅后及时综合利用。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</w:pP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  <w:highlight w:val="none"/>
        </w:rPr>
        <w:t>（二）</w:t>
      </w:r>
      <w:r>
        <w:rPr>
          <w:rFonts w:hint="eastAsia" w:ascii="楷体_GB2312" w:hAnsi="仿宋_GB2312" w:eastAsia="楷体_GB2312" w:cs="Times New Roman"/>
          <w:b/>
          <w:bCs/>
          <w:color w:val="000000" w:themeColor="text1"/>
          <w:sz w:val="32"/>
          <w:szCs w:val="32"/>
          <w:highlight w:val="none"/>
          <w:lang w:eastAsia="zh-CN"/>
        </w:rPr>
        <w:t>加强日常管理</w:t>
      </w: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。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产废单位应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建立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定期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巡查、排查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管理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制度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制定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相关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突发环境事件应急预案，定期检查防渗、防雨、导排、抑尘等设施完好性，及时修复破损。按照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标准规范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要求定期开展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环境监测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（</w:t>
      </w:r>
      <w:r>
        <w:rPr>
          <w:rFonts w:hint="eastAsia" w:ascii="楷体_GB2312" w:hAnsi="仿宋_GB2312" w:eastAsia="楷体_GB2312" w:cs="Times New Roman"/>
          <w:b/>
          <w:bCs/>
          <w:color w:val="000000" w:themeColor="text1"/>
          <w:sz w:val="32"/>
          <w:szCs w:val="32"/>
          <w:lang w:eastAsia="zh-CN"/>
        </w:rPr>
        <w:t>三</w:t>
      </w: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）强化后期恢复。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临时贮存场所不再承担相应功能后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产废单位应及时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完成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贮存一般工业固废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清运、场地清理、生态恢复及地貌复原。严禁以临时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堆放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为名，行长期违规贮存、非法填埋之实。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三、推行租借共享，提升贮存设施利用效率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（一）建立共享机制。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各地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全面摸排辖区内一般工业固废贮存设施建设、运行及容量情况，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可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试行租借共享、统筹调度机制，有效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解决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小散企业贮存能力不足问题。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  <w:highlight w:val="none"/>
        </w:rPr>
        <w:t>（二）明确责任边界。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试行贮存设施租借共享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的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出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</w:rPr>
        <w:t>租方与承租方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</w:rPr>
        <w:t>，依法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</w:rPr>
        <w:t>签订合同，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</w:rPr>
        <w:t>约定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</w:rPr>
        <w:t>贮存期限、污染防治责任、转运计划、环境应急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</w:rPr>
        <w:t>环境安全主体责任等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</w:rPr>
        <w:t>内容，严格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履行合同约定事项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</w:rPr>
        <w:t>及时转运、规范利用处置。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四、压实各方责任，强化执法监督检查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（一）落实主体责任。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产废单位、贮存运营单位是一般工业固废污染防治第一责任人，应严格执行固体废物污染环境防治法律法规及本通知要求，全面落实污染防治措施。建立一般工业固废管理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纸质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+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电子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双台账，如实记录来源、种类、数量、流向、贮存、利用、处置等信息，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并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在宁夏固体危险废物动态监管信息系统如实申报，确保全程可追溯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。涉及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</w:rPr>
        <w:t>排污许可证内容变动的及时依法变更。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（二）加强日常监管。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各级生态环境部门将一般工业固废贮存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单位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纳入日常执法检查和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双随机、一公开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监管重点，加大巡查频次和抽查力度，重点核查台账真实性、设施运行规范性、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贮存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管理合规性。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楷体_GB2312" w:hAnsi="仿宋_GB2312" w:eastAsia="楷体_GB2312" w:cs="Times New Roman"/>
          <w:b/>
          <w:bCs/>
          <w:color w:val="000000" w:themeColor="text1"/>
          <w:sz w:val="32"/>
          <w:szCs w:val="32"/>
        </w:rPr>
        <w:t>（三）严格依法查处。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</w:rPr>
        <w:t>针对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</w:rPr>
        <w:t>贮存场所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</w:rPr>
        <w:t>存在的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</w:rPr>
        <w:t>未批先建、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</w:rPr>
        <w:t>未如实建立台账、未落实国家标准要求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</w:rPr>
        <w:t>环境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</w:rPr>
        <w:t>违法行为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</w:rPr>
        <w:t>，要依法依规进行查处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</w:rPr>
        <w:t>；涉嫌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</w:rPr>
        <w:t>构成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</w:rPr>
        <w:t>犯罪的，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依法移送司法机关追究责任。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各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地生态环境部门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结合本地区实际，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抓好文件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各项要求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</w:rPr>
        <w:t>落实，严格防控环境风险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。每年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月底向自治区生态环境厅报送当年试点工作进展、主要成效、存在问题及改进建议，重大情况第一时间报告。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仿宋_GB2312" w:eastAsia="仿宋_GB2312" w:cs="Times New Roman"/>
          <w:color w:val="000000" w:themeColor="text1"/>
          <w:sz w:val="32"/>
          <w:szCs w:val="32"/>
        </w:rPr>
        <w:t>本通知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</w:rPr>
        <w:t>自202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val="en-US" w:eastAsia="zh-CN"/>
        </w:rPr>
        <w:t>XX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</w:rPr>
        <w:t>日起施行，有效期至202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val="en-US" w:eastAsia="zh-CN"/>
        </w:rPr>
        <w:t>XX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204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3036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7A0E7715"/>
    <w:rsid w:val="000E3BE7"/>
    <w:rsid w:val="00556EBD"/>
    <w:rsid w:val="008C1CBC"/>
    <w:rsid w:val="00BD6FD6"/>
    <w:rsid w:val="069C40D7"/>
    <w:rsid w:val="10204893"/>
    <w:rsid w:val="11554924"/>
    <w:rsid w:val="163E2706"/>
    <w:rsid w:val="17BC249D"/>
    <w:rsid w:val="38F36243"/>
    <w:rsid w:val="3F6147FC"/>
    <w:rsid w:val="4BEF48E6"/>
    <w:rsid w:val="54D648BB"/>
    <w:rsid w:val="63FFB6B3"/>
    <w:rsid w:val="64EAF59B"/>
    <w:rsid w:val="69572A7E"/>
    <w:rsid w:val="6F664B35"/>
    <w:rsid w:val="73D31F55"/>
    <w:rsid w:val="799E6D0B"/>
    <w:rsid w:val="7A0E7715"/>
    <w:rsid w:val="D29F7D04"/>
    <w:rsid w:val="DF6DD761"/>
    <w:rsid w:val="F5DD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2240</Words>
  <Characters>2263</Characters>
  <Lines>14</Lines>
  <Paragraphs>4</Paragraphs>
  <TotalTime>23</TotalTime>
  <ScaleCrop>false</ScaleCrop>
  <LinksUpToDate>false</LinksUpToDate>
  <CharactersWithSpaces>2265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2026-04-10T08:50:00Z</dcterms:created>
  <dc:creator>喵4U</dc:creator>
  <cp:lastModifiedBy>a02792</cp:lastModifiedBy>
  <cp:lastPrinted>2026-04-23T19:51:00Z</cp:lastPrinted>
  <dcterms:modified xsi:type="dcterms:W3CDTF">2026-04-23T16:33:06Z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332EFE23A8264ED5B271E2F4EBAF528A_11</vt:lpwstr>
  </property>
  <property fmtid="{D5CDD505-2E9C-101B-9397-08002B2CF9AE}" pid="4" name="KSOTemplateDocerSaveRecord">
    <vt:lpwstr>eyJoZGlkIjoiMDU2ZTFhMTE0NzZlN2E0ZDJmZDdlYmFmYWFkZWQ5ZWEiLCJ1c2VySWQiOiIzNTcyMDcyNTYifQ==</vt:lpwstr>
  </property>
</Properties>
</file>