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CD7AE">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D706CB8">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宁夏回族自治区制药行业环境准入</w:t>
      </w:r>
    </w:p>
    <w:p w14:paraId="3546D355">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指导意见</w:t>
      </w:r>
    </w:p>
    <w:p w14:paraId="0DF8867E">
      <w:pPr>
        <w:spacing w:line="560" w:lineRule="exact"/>
        <w:jc w:val="center"/>
        <w:rPr>
          <w:rFonts w:hint="eastAsia" w:ascii="楷体_GB2312" w:hAnsi="楷体_GB2312" w:eastAsia="楷体_GB2312" w:cs="楷体_GB2312"/>
          <w:color w:val="000000" w:themeColor="text1"/>
          <w:kern w:val="0"/>
          <w:szCs w:val="32"/>
          <w14:textFill>
            <w14:solidFill>
              <w14:schemeClr w14:val="tx1"/>
            </w14:solidFill>
          </w14:textFill>
        </w:rPr>
      </w:pPr>
      <w:bookmarkStart w:id="4" w:name="_GoBack"/>
      <w:bookmarkEnd w:id="4"/>
      <w:r>
        <w:rPr>
          <w:rFonts w:hint="eastAsia" w:ascii="楷体_GB2312" w:hAnsi="楷体_GB2312" w:eastAsia="楷体_GB2312" w:cs="楷体_GB2312"/>
          <w:sz w:val="32"/>
          <w:szCs w:val="32"/>
        </w:rPr>
        <w:t>（征求意见稿）</w:t>
      </w:r>
    </w:p>
    <w:p w14:paraId="5B305A52">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深入贯彻习近平生态文明思想和党的二十届四中全会精神，认真落实党中央、国务院关于深入美丽中国建设的战略部署要求，加快推动宁夏回族自治区制药行业全面绿色转型，加强全产业链源头管控，依据国家和自治区有关法律法规、产业政策、生态环境保护要求，制定本《意见》。</w:t>
      </w:r>
    </w:p>
    <w:p w14:paraId="39BE5A8F">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14:paraId="1FF593D4">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规定了我区制药行业产业政策与空间准入、技术装备水平、污染防治措施、新污染物环境管控、绿色低碳发展、污染物排放总量控制、环境风险防范措施以及环境管理等方面的基本要求。涵盖了《国民经济行业分类》所列的C271化学药品原料药制造、C272化学药品制剂制造、C276生物药品制造。适用于我区新建、改扩建、迁建制药行业建设项目的环境影响评价、环境保护设施设计、竣工环境保护验收、排污许可证核发及其投产后的污染物排放管理，也适用于药物研发机构建设项目及供药物生产的医药中间体建设项目和现有制药行业建设项目的整治和相关环境管理活动。</w:t>
      </w:r>
    </w:p>
    <w:p w14:paraId="68E20024">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中现有制药行业建设项目是指本《意见》实施之日前已建成投产或环境影响评价文件已通过审批的建设项目。新建、改扩建和迁建制药行业建设项目是指本《意见》实施之日起环境影响评价文件通过审批的新建、改扩建和迁建的建设项目。</w:t>
      </w:r>
    </w:p>
    <w:p w14:paraId="226938F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二、产业政策与空间准入</w:t>
      </w:r>
    </w:p>
    <w:p w14:paraId="1F8F78AB">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（一）产业政策</w:t>
      </w:r>
    </w:p>
    <w:p w14:paraId="058BF5FA">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制药行业建设项目应符合相关法律法规和政策，符合国家及地方产业结构调整、落后产能淘汰的相关要求。新建制药行业建设项目应采用先进生产工艺和设备，禁止新增《产业结构调整指导目录》中限制类、淘汰类的落后生产工艺、设备和产品，鼓励发展特色药、创新药，提高新产品、高附加值产品比重，延伸产业链条。</w:t>
      </w:r>
    </w:p>
    <w:p w14:paraId="1C83B68C">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（二）空间准入</w:t>
      </w:r>
    </w:p>
    <w:p w14:paraId="78DE2F73">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新建、改扩建、迁建制药行业建设项目选址必须符合国土空间规划和生态环境分区管控要求。</w:t>
      </w:r>
    </w:p>
    <w:p w14:paraId="61A4F4E8">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新建、改扩建、迁建制药行业建设项目必须进入产业园区并符合园区规划、规划环评及其审查意见的要求，鼓励园区外现有制药企业搬迁至产业园区。 </w:t>
      </w:r>
    </w:p>
    <w:p w14:paraId="750E0E7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三、工艺与装备</w:t>
      </w:r>
    </w:p>
    <w:p w14:paraId="41CF1B84">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鼓励制药行业建设项目自主研发和创新，引进国内外先进的设计理念、生产技术和管理制度。鼓励制药行业建设项目对标行业标杆实施安全化、绿色化、智能化改造，鼓励采用连续化生产工艺和定量化控制技术，推进连续硝化、连续加氢、连续（定向）氯化、连续氧化、连续氟化、连续酯化、新型烷基化、连续胺化（氨化）、连续重氮化、水解、微通道、分步结晶、真空精密精馏等连续化工艺技术的研发与推广应用。</w:t>
      </w:r>
    </w:p>
    <w:p w14:paraId="54419B27">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快高效催化、生物催化、反应精馏、超重力、密闭化技术，有毒有害及高VOCs含量原辅材料替代技术等研发与推广应用，采用无毒、低毒、低臭、低反应活性的原料替代高毒、恶臭或高反应活性的原料。对生产中使用剧毒化学品、具有“三致”毒理特性的物质、具有明显恶臭影响特征的物质和列为优先控制化学品名录的物质的项目，应采取措施严格控制相应污染物的产生。</w:t>
      </w:r>
    </w:p>
    <w:p w14:paraId="741FCD44">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（三）新建生产车间原则上应采取垂直布置流程，宜提升工艺装备水平，采用连续化、自动化、密闭性高的生产工艺和设备，减少物料转运次数，通过合理布置实现全封闭生产。</w:t>
      </w:r>
    </w:p>
    <w:p w14:paraId="1B8362E6">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（四）鼓励采用《制药工业污染防治可行技术指南 原料药（发酵类、化学合成类、提取类）和制剂类（HJ 1305》要求，针对制药行业生产过程中污染源和污染物组分性质的差异，进行分类、分质的收集并处理以实现达标排放。开展源头-过程-末端全流程挥发性有机物综合治理，切实加强无组织排放管控。通过优化生产设备选型、采用密闭式作业、建立密闭式负压废气收集系统等手段，减少无组织废气排放。</w:t>
      </w:r>
    </w:p>
    <w:p w14:paraId="6FD45197">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鼓励制药行业建立生产与废水、废气处理相结合的全过程监控平台，加强环境风险全过程数字化管理。含生物活性的废气、废水、固体废物须先进行灭活、灭菌预处理后，再纳入污染治理系统，严控生物安全风险。</w:t>
      </w:r>
    </w:p>
    <w:p w14:paraId="749F82D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四、污染防治措施</w:t>
      </w:r>
    </w:p>
    <w:p w14:paraId="090BEA79">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（一）水污染防治措施</w:t>
      </w:r>
    </w:p>
    <w:p w14:paraId="0DBBFE59">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废水应分质收集，做到“清污分流、雨污分流、污污分流”，初期雨水应收集并排至污水处理设施；各企业每处生产厂区只能设一个污水排放口，并按照有关规定安装在线监测监控设施。合理设置雨水排放口，配备雨水自动切换系统，宜实施雨水排放口智能化监控。</w:t>
      </w:r>
    </w:p>
    <w:p w14:paraId="5E0F420A">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药行业建设项目须配套合适的生产废水预处理措施和设施，除常规指标外，尤其应关注特征污染因子的治理措施，污水处理工艺设计应考虑生产过程使用或产生的高毒害或生物抑制性强、难降解有机物的处理单元。鼓励回收利用废水中有用物质；影响达标排放和后续生化处理的重金属、高氨氮、高磷、高盐分、高毒害（包括氟化物、氰化物等）、高热、高浓度难降解废水应单独配套预处理设施，高盐分母液应配套脱盐设施或采取其他先进技术进行处理。鼓励高浓度、难降解有机废水（液）采用焚烧方式处理。</w:t>
      </w:r>
    </w:p>
    <w:p w14:paraId="2F7D2823">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涉及《污水综合排放标准》（GB 8978）中第一类污染物和《有毒有害水污染物名录》中所列污染物的，应对相关污染物加强监控。项目排放的废水污染物应符合《化学合成类制药工业水污染物排放标准》（GB 21904）、《发酵类制药工业水污染物排放标准》（GB 21093）和《生物工程类制药工业水污染物排放标准 》（GB 21907）等要求。各产品排污系数要低于《化学合成类制药工业水污染物排放标准》（GB 21904）和《发酵类制药工业水污染物排放标准》（GB 21093）中的单位产品基准排水量相关要求（详见附表），并鼓励按照削减10%以上的要求进行控制。</w:t>
      </w:r>
    </w:p>
    <w:p w14:paraId="09FD6AAA">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 大气污染防治措施</w:t>
      </w:r>
    </w:p>
    <w:p w14:paraId="21A517B8">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鼓励采用密闭一体化生产技术，对生产过程中产生的废气进行分类收集和处理。对于涉及VOCs 的物料储存设施、生产设备、敞开液面等无组织排放源，应按照《制药工业大气污染物排放标准》（GB37823）的要求采取相应的污染防治措施。</w:t>
      </w:r>
    </w:p>
    <w:p w14:paraId="4A3DD43F">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分类、适用技术处理各类废气污染物。酸/碱性废气可采用多级水吸收、碱/酸吸收，氮氧化物废气宜采用还原吸收工艺；有机废气应有效收集并根据其特性采取焚烧、吸收、吸附或其它先进适用的处理技术；粉尘类废气应采用布袋除尘或以布袋除尘为核心的组合工艺等有效处理技术处理，确保排气筒与厂界污染物排放达到国家和地方规定的控制标准限值要求。加强恶臭治理，对周边敏感目标产生异味影响的建设项目，应在确保排放达标基础上，进一步强化恶臭控制措施。</w:t>
      </w:r>
    </w:p>
    <w:p w14:paraId="1705B9BA">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鼓励企业对泵、压缩机、阀门、法兰等易发生泄漏的设备与管线组件，制定泄漏检测与修复（LDAR）计划，定期检测、及时修复，防止或减少跑、冒、滴、漏现象。</w:t>
      </w:r>
    </w:p>
    <w:p w14:paraId="141A3632">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 土壤及地下水污染防治措施</w:t>
      </w:r>
    </w:p>
    <w:p w14:paraId="0AC9DC8F">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按照“源头控制、分区防控、污染监控”的原则确定防治措施。</w:t>
      </w:r>
    </w:p>
    <w:p w14:paraId="14821B6D">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有毒有害物质的生产装置、储存场所、储罐和管道、污水处理池、应急池、固体废物贮存场所等，应当采取有效措施，防止有毒有害物质渗漏、流失、扬散，避免土壤和地下水受到污染。输送有毒有害物质和工艺废水的管线须采用地上明管或架空敷设的方式，设计、建设和安装有关防腐蚀、防泄漏设施和泄漏监测装置。</w:t>
      </w:r>
    </w:p>
    <w:p w14:paraId="798A5C91">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制药企业应列为或参照土壤环境污染重点监管单位进行管理，按照相关要求定期开展厂区及周边环境的土壤和地下水监测，并建立污染隐患排查治理制度。</w:t>
      </w:r>
    </w:p>
    <w:p w14:paraId="1EC2E54C">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（四）固体废物污染防治措施</w:t>
      </w:r>
    </w:p>
    <w:p w14:paraId="616D6EE7">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资源化、减量化、无害化”的原则，对固体废物进行分类收集、规范处置。鼓励企业通过改进工艺等方式减少固体废物的产生，并在符合相关政策标准的前提下积极开展固体废物的综合利用。制药行业建设项目应要落实固体废物综合利用主体责任，明确综合利用措施并按照国家和自治区相关要求落实综合利用率指标。鼓励高盐废水分类收集、提盐后分质预处理，降低废盐产生量和危害性，鼓励废盐资源化利用。资源化产物应按照《固体废物鉴别标准 通则》（GB 34330）开展属性鉴别，并根据鉴别结果进行管理。</w:t>
      </w:r>
    </w:p>
    <w:p w14:paraId="2342049D">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国家危险废物名录》，对未列入《名录》不能排除危险特性且未经鉴别的固体废物，从严按照危险废物进行妥善贮存和处置。危险废物产生企业厂内必须设置危险废物贮存设施，贮存设施的选址设计及运行管理须严格遵守《危险废物贮存污染控制标准》有关要求。企业自建危险废物焚烧装置的，焚烧装置污染物排放须满足《危险废物焚烧污染控制标准》有关要求。危险废物的转移、处置和综合利用须遵守国家、自治区相关规定。</w:t>
      </w:r>
    </w:p>
    <w:p w14:paraId="3C666602">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危险废物和一般工业固体废物贮存和处置应符合《危险废物贮存污染控制标准》（GB 18597）、《一般工业固体废物贮存和填埋污染控制标准》（GB 18599）等要求。</w:t>
      </w:r>
    </w:p>
    <w:p w14:paraId="04984833">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（五）噪声污染防治措施</w:t>
      </w:r>
    </w:p>
    <w:p w14:paraId="4C781547">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优化厂区平面布置，优先选用低噪声设备和工艺，采取减 振、隔声、消声等措施有效控制噪声污染，厂界噪声满足《工业企业厂界环境噪声排放标准》（GB 12348）要求。</w:t>
      </w:r>
    </w:p>
    <w:p w14:paraId="4D2A03F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五、环境风险防范措施</w:t>
      </w:r>
    </w:p>
    <w:p w14:paraId="57DAD84A">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在满足安全设计生产的基础上，提出合理有效的污染治理和环境风险防范措施，严控项目环境风险。必须设置事故池贮存事故废水（含消防下水），事故池有效容积须可容纳最大事故状态所产生的废水量。事故池宜采取地下式并布置在厂区地势最低处，事故源切断应分别设置手、自动系统。事故废水须进行有效监控和处理，防止事故废水直接外排。</w:t>
      </w:r>
    </w:p>
    <w:p w14:paraId="7D2BA49F">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须建立环境风险防控体系，制定有效的环境风险事故应急预案并及时更新，配备满足要求的环境风险防范措施和应急设施，定期开展演练，构建与当地政府和相关部门以及周边企业、园区相衔接的区域环境风险联防联控机制。</w:t>
      </w:r>
    </w:p>
    <w:p w14:paraId="2BEABAA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六、新污染物管控</w:t>
      </w:r>
    </w:p>
    <w:p w14:paraId="55821B5F">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严格落实《重点管控新污染物清单》及《宁夏回族自治区重点管控新污染物补充清单》管控要求，严格控制新污染物的产生与排放，按照重点管控新污染物清单要求，采取禁止、限制、限排等环境风险管控措施。</w:t>
      </w:r>
    </w:p>
    <w:p w14:paraId="64697B4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七、绿色低碳发展</w:t>
      </w:r>
    </w:p>
    <w:p w14:paraId="106B3ABA">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（一）编制环境影响报告书的制药行业建设项目须将碳排放评价内容纳入建设项目环境影响评价。推进减污降碳协同增效，推动减碳技术创新示范应用。</w:t>
      </w:r>
    </w:p>
    <w:p w14:paraId="24130730">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生产各原辅料、中间产物、产品和排放的污染物中涉及《优先控制化学品名录》中所列物质的，应按照有关法律法规的要求，开展强制性清洁生产审核。新建制药行业建设项目应达到国内清洁生产先进水平。</w:t>
      </w:r>
    </w:p>
    <w:p w14:paraId="4C2CF5E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八、总量控制</w:t>
      </w:r>
    </w:p>
    <w:p w14:paraId="664CCC8D">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制药行业建设项目必须符合国家及自治区总量管控要求，确保区域环境质量不降低。</w:t>
      </w:r>
    </w:p>
    <w:p w14:paraId="53EBA99C">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属于宁夏回族自治区主要污染物排污权指标的总量控制因子，应按照自治区排污权相关规定进行核定和有偿交易取得并纳入排污许可管理。</w:t>
      </w:r>
    </w:p>
    <w:p w14:paraId="55BD1B4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九、环境管理</w:t>
      </w:r>
    </w:p>
    <w:p w14:paraId="071AB356">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应建设完备的生态环境管理制度和有效的环境管理体系，环保设施应具有良好的管理制度、操作规程，环境管理台帐应完善。</w:t>
      </w:r>
    </w:p>
    <w:p w14:paraId="27DD59E9">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应按照《污染源自动监控管理办法》、《排污单位自行监测技术指南》及相关环境监测技术规范等，提出自行监测方案及在线监测要求，对排污状况和自动监测数据负责。</w:t>
      </w:r>
    </w:p>
    <w:p w14:paraId="0D500902">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应按照《企业环境信息依法披露管理办法》相关规定向社会公开环境信息。</w:t>
      </w:r>
    </w:p>
    <w:p w14:paraId="630CAC7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十、附则</w:t>
      </w:r>
    </w:p>
    <w:p w14:paraId="0D736EE7">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意见》由宁夏回族自治区生态环境厅会同自治区工业和信息化厅、发展和改革委员会、药品监督管理局负责解释。涉及的国家、自治区和行业相关标准及政策如有修订，从其规定。与自治区其他地方标准、规范性文件不一致的，按照从严执行原则执行。</w:t>
      </w:r>
    </w:p>
    <w:p w14:paraId="4A027FB3">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（五）本《意见》自2026年X月X日起实施，有效期为5年，原《宁夏回族自治区化学原料药行业环境准入指导意见》同时废止。</w:t>
      </w:r>
    </w:p>
    <w:p w14:paraId="5BFCE6E0">
      <w:pPr>
        <w:spacing w:line="560" w:lineRule="exact"/>
        <w:ind w:firstLine="640" w:firstLineChars="200"/>
        <w:rPr>
          <w:rFonts w:hint="default" w:ascii="Times New Roman" w:hAnsi="Times New Roman" w:eastAsia="仿宋_GB2312" w:cs="Times New Roman"/>
          <w:sz w:val="32"/>
          <w:szCs w:val="32"/>
        </w:rPr>
      </w:pPr>
    </w:p>
    <w:p w14:paraId="5D8E12C9">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E764C62">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附录A 制药行业单位产品基准排水量准入限值</w:t>
      </w:r>
    </w:p>
    <w:p w14:paraId="57D27DBA">
      <w:pPr>
        <w:adjustRightInd w:val="0"/>
        <w:snapToGrid w:val="0"/>
        <w:spacing w:line="56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A.1 化学合成类制药工业单位产品基准排水量准入限值</w:t>
      </w:r>
    </w:p>
    <w:p w14:paraId="551CE254">
      <w:pPr>
        <w:adjustRightInd w:val="0"/>
        <w:snapToGrid w:val="0"/>
        <w:spacing w:line="560" w:lineRule="exact"/>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（单位：m</w:t>
      </w:r>
      <w:r>
        <w:rPr>
          <w:rFonts w:hint="default" w:ascii="Times New Roman" w:hAnsi="Times New Roman" w:eastAsia="仿宋_GB2312" w:cs="Times New Roman"/>
          <w:sz w:val="30"/>
          <w:szCs w:val="30"/>
          <w:vertAlign w:val="superscript"/>
        </w:rPr>
        <w:t>3</w:t>
      </w:r>
      <w:r>
        <w:rPr>
          <w:rFonts w:hint="default" w:ascii="Times New Roman" w:hAnsi="Times New Roman" w:eastAsia="仿宋_GB2312" w:cs="Times New Roman"/>
          <w:sz w:val="30"/>
          <w:szCs w:val="30"/>
        </w:rPr>
        <w:t>/t）</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28"/>
        <w:gridCol w:w="3093"/>
        <w:gridCol w:w="2010"/>
        <w:gridCol w:w="3030"/>
      </w:tblGrid>
      <w:tr w14:paraId="43F7AE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1F05665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序号</w:t>
            </w:r>
          </w:p>
        </w:tc>
        <w:tc>
          <w:tcPr>
            <w:tcW w:w="1707" w:type="pct"/>
            <w:vAlign w:val="center"/>
          </w:tcPr>
          <w:p w14:paraId="1FAF7515">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药物种类</w:t>
            </w:r>
          </w:p>
        </w:tc>
        <w:tc>
          <w:tcPr>
            <w:tcW w:w="1109" w:type="pct"/>
            <w:vAlign w:val="center"/>
          </w:tcPr>
          <w:p w14:paraId="1598149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代表性药物</w:t>
            </w:r>
          </w:p>
        </w:tc>
        <w:tc>
          <w:tcPr>
            <w:tcW w:w="1672" w:type="pct"/>
            <w:vAlign w:val="center"/>
          </w:tcPr>
          <w:p w14:paraId="575BFA15">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国标（GB 21904）基准排水量</w:t>
            </w:r>
          </w:p>
        </w:tc>
      </w:tr>
      <w:tr w14:paraId="4496B4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11AF972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p>
        </w:tc>
        <w:tc>
          <w:tcPr>
            <w:tcW w:w="1707" w:type="pct"/>
            <w:vMerge w:val="restart"/>
            <w:vAlign w:val="center"/>
          </w:tcPr>
          <w:p w14:paraId="5C88AD7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神经系统类</w:t>
            </w:r>
          </w:p>
        </w:tc>
        <w:tc>
          <w:tcPr>
            <w:tcW w:w="1109" w:type="pct"/>
            <w:vAlign w:val="center"/>
          </w:tcPr>
          <w:p w14:paraId="1A97C47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安乃近</w:t>
            </w:r>
          </w:p>
        </w:tc>
        <w:tc>
          <w:tcPr>
            <w:tcW w:w="1672" w:type="pct"/>
            <w:vAlign w:val="center"/>
          </w:tcPr>
          <w:p w14:paraId="3E832AB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88</w:t>
            </w:r>
          </w:p>
        </w:tc>
      </w:tr>
      <w:tr w14:paraId="161BDF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1498A81E">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4DD8BDA7">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09594D6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阿司匹林</w:t>
            </w:r>
          </w:p>
        </w:tc>
        <w:tc>
          <w:tcPr>
            <w:tcW w:w="1672" w:type="pct"/>
            <w:vAlign w:val="center"/>
          </w:tcPr>
          <w:p w14:paraId="455A1663">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30</w:t>
            </w:r>
          </w:p>
        </w:tc>
      </w:tr>
      <w:tr w14:paraId="7213C9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47F94888">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094822D4">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2604AC7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咖啡因</w:t>
            </w:r>
          </w:p>
        </w:tc>
        <w:tc>
          <w:tcPr>
            <w:tcW w:w="1672" w:type="pct"/>
            <w:vAlign w:val="center"/>
          </w:tcPr>
          <w:p w14:paraId="1000948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248</w:t>
            </w:r>
          </w:p>
        </w:tc>
      </w:tr>
      <w:tr w14:paraId="0EAC7D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3E19A18B">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3D5F5DB0">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294BF2F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布洛芬</w:t>
            </w:r>
          </w:p>
        </w:tc>
        <w:tc>
          <w:tcPr>
            <w:tcW w:w="1672" w:type="pct"/>
            <w:vAlign w:val="center"/>
          </w:tcPr>
          <w:p w14:paraId="007E0D14">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120</w:t>
            </w:r>
          </w:p>
        </w:tc>
      </w:tr>
      <w:tr w14:paraId="7DE718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5DD3F97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p>
        </w:tc>
        <w:tc>
          <w:tcPr>
            <w:tcW w:w="1707" w:type="pct"/>
            <w:vMerge w:val="restart"/>
            <w:vAlign w:val="center"/>
          </w:tcPr>
          <w:p w14:paraId="70D79F85">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抗微生物感染类</w:t>
            </w:r>
          </w:p>
        </w:tc>
        <w:tc>
          <w:tcPr>
            <w:tcW w:w="1109" w:type="pct"/>
            <w:vAlign w:val="center"/>
          </w:tcPr>
          <w:p w14:paraId="33A1A96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氯霉素</w:t>
            </w:r>
          </w:p>
        </w:tc>
        <w:tc>
          <w:tcPr>
            <w:tcW w:w="1672" w:type="pct"/>
            <w:vAlign w:val="center"/>
          </w:tcPr>
          <w:p w14:paraId="6BD346E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1000</w:t>
            </w:r>
          </w:p>
        </w:tc>
      </w:tr>
      <w:tr w14:paraId="44C4C6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33BEA247">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7E044D2B">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203FEF0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磺胺吡啶</w:t>
            </w:r>
          </w:p>
        </w:tc>
        <w:tc>
          <w:tcPr>
            <w:tcW w:w="1672" w:type="pct"/>
            <w:vAlign w:val="center"/>
          </w:tcPr>
          <w:p w14:paraId="150105E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280</w:t>
            </w:r>
          </w:p>
        </w:tc>
      </w:tr>
      <w:tr w14:paraId="343173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45C164D1">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620EC400">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19E9407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呋喃唑酮</w:t>
            </w:r>
          </w:p>
        </w:tc>
        <w:tc>
          <w:tcPr>
            <w:tcW w:w="1672" w:type="pct"/>
            <w:vAlign w:val="center"/>
          </w:tcPr>
          <w:p w14:paraId="041750A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2400</w:t>
            </w:r>
          </w:p>
        </w:tc>
      </w:tr>
      <w:tr w14:paraId="6C6EC4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10B7A2A7">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05E907F5">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5F78A72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阿莫西林</w:t>
            </w:r>
          </w:p>
        </w:tc>
        <w:tc>
          <w:tcPr>
            <w:tcW w:w="1672" w:type="pct"/>
            <w:vAlign w:val="center"/>
          </w:tcPr>
          <w:p w14:paraId="0B977DA3">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240</w:t>
            </w:r>
          </w:p>
        </w:tc>
      </w:tr>
      <w:tr w14:paraId="39455E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2316DE5F">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248DF4A7">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0E1A759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头孢拉定</w:t>
            </w:r>
          </w:p>
        </w:tc>
        <w:tc>
          <w:tcPr>
            <w:tcW w:w="1672" w:type="pct"/>
            <w:vAlign w:val="center"/>
          </w:tcPr>
          <w:p w14:paraId="70AA0C0F">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1200</w:t>
            </w:r>
          </w:p>
        </w:tc>
      </w:tr>
      <w:tr w14:paraId="3FD5C5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2C75463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w:t>
            </w:r>
          </w:p>
        </w:tc>
        <w:tc>
          <w:tcPr>
            <w:tcW w:w="1707" w:type="pct"/>
            <w:vAlign w:val="center"/>
          </w:tcPr>
          <w:p w14:paraId="4EFB04B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呼吸系统类</w:t>
            </w:r>
          </w:p>
        </w:tc>
        <w:tc>
          <w:tcPr>
            <w:tcW w:w="1109" w:type="pct"/>
            <w:vAlign w:val="center"/>
          </w:tcPr>
          <w:p w14:paraId="1BAE688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愈创木酚甘油醚</w:t>
            </w:r>
          </w:p>
        </w:tc>
        <w:tc>
          <w:tcPr>
            <w:tcW w:w="1672" w:type="pct"/>
            <w:vAlign w:val="center"/>
          </w:tcPr>
          <w:p w14:paraId="5F0AB63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45</w:t>
            </w:r>
          </w:p>
        </w:tc>
      </w:tr>
      <w:tr w14:paraId="48FE89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02195C1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w:t>
            </w:r>
          </w:p>
        </w:tc>
        <w:tc>
          <w:tcPr>
            <w:tcW w:w="1707" w:type="pct"/>
            <w:vAlign w:val="center"/>
          </w:tcPr>
          <w:p w14:paraId="214516F5">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心血管系统类</w:t>
            </w:r>
          </w:p>
        </w:tc>
        <w:tc>
          <w:tcPr>
            <w:tcW w:w="1109" w:type="pct"/>
            <w:vAlign w:val="center"/>
          </w:tcPr>
          <w:p w14:paraId="7F03735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辛伐他汀</w:t>
            </w:r>
          </w:p>
        </w:tc>
        <w:tc>
          <w:tcPr>
            <w:tcW w:w="1672" w:type="pct"/>
            <w:vAlign w:val="center"/>
          </w:tcPr>
          <w:p w14:paraId="54E77B4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240</w:t>
            </w:r>
          </w:p>
        </w:tc>
      </w:tr>
      <w:tr w14:paraId="321990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4F9E576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w:t>
            </w:r>
          </w:p>
        </w:tc>
        <w:tc>
          <w:tcPr>
            <w:tcW w:w="1707" w:type="pct"/>
            <w:vAlign w:val="center"/>
          </w:tcPr>
          <w:p w14:paraId="0A41DD06">
            <w:pPr>
              <w:adjustRightInd w:val="0"/>
              <w:snapToGrid w:val="0"/>
              <w:jc w:val="center"/>
              <w:rPr>
                <w:rFonts w:hint="default" w:ascii="Times New Roman" w:hAnsi="Times New Roman" w:eastAsia="仿宋_GB2312" w:cs="Times New Roman"/>
                <w:spacing w:val="-20"/>
                <w:kern w:val="0"/>
                <w:sz w:val="30"/>
                <w:szCs w:val="30"/>
              </w:rPr>
            </w:pPr>
            <w:r>
              <w:rPr>
                <w:rFonts w:hint="default" w:ascii="Times New Roman" w:hAnsi="Times New Roman" w:eastAsia="仿宋_GB2312" w:cs="Times New Roman"/>
                <w:spacing w:val="-20"/>
                <w:kern w:val="0"/>
                <w:sz w:val="30"/>
                <w:szCs w:val="30"/>
              </w:rPr>
              <w:t>激素及影响内分泌类</w:t>
            </w:r>
          </w:p>
        </w:tc>
        <w:tc>
          <w:tcPr>
            <w:tcW w:w="1109" w:type="pct"/>
            <w:vAlign w:val="center"/>
          </w:tcPr>
          <w:p w14:paraId="2EFD11C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氢化可的松</w:t>
            </w:r>
          </w:p>
        </w:tc>
        <w:tc>
          <w:tcPr>
            <w:tcW w:w="1672" w:type="pct"/>
            <w:vAlign w:val="center"/>
          </w:tcPr>
          <w:p w14:paraId="12D694B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4500</w:t>
            </w:r>
          </w:p>
        </w:tc>
      </w:tr>
      <w:tr w14:paraId="472FD7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7573908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6</w:t>
            </w:r>
          </w:p>
        </w:tc>
        <w:tc>
          <w:tcPr>
            <w:tcW w:w="1707" w:type="pct"/>
            <w:vMerge w:val="restart"/>
            <w:vAlign w:val="center"/>
          </w:tcPr>
          <w:p w14:paraId="0914463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维生素类</w:t>
            </w:r>
          </w:p>
        </w:tc>
        <w:tc>
          <w:tcPr>
            <w:tcW w:w="1109" w:type="pct"/>
            <w:vAlign w:val="center"/>
          </w:tcPr>
          <w:p w14:paraId="53986BA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维生素 E</w:t>
            </w:r>
          </w:p>
        </w:tc>
        <w:tc>
          <w:tcPr>
            <w:tcW w:w="1672" w:type="pct"/>
            <w:vAlign w:val="center"/>
          </w:tcPr>
          <w:p w14:paraId="6392D56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45</w:t>
            </w:r>
          </w:p>
        </w:tc>
      </w:tr>
      <w:tr w14:paraId="019143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26E22E63">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40C48981">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2B5859D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维生素 B1</w:t>
            </w:r>
          </w:p>
        </w:tc>
        <w:tc>
          <w:tcPr>
            <w:tcW w:w="1672" w:type="pct"/>
            <w:vAlign w:val="center"/>
          </w:tcPr>
          <w:p w14:paraId="6F0095A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3400</w:t>
            </w:r>
          </w:p>
        </w:tc>
      </w:tr>
      <w:tr w14:paraId="401F1C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520A309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7</w:t>
            </w:r>
          </w:p>
        </w:tc>
        <w:tc>
          <w:tcPr>
            <w:tcW w:w="1707" w:type="pct"/>
            <w:vAlign w:val="center"/>
          </w:tcPr>
          <w:p w14:paraId="3CF4905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氨基酸类</w:t>
            </w:r>
          </w:p>
        </w:tc>
        <w:tc>
          <w:tcPr>
            <w:tcW w:w="1109" w:type="pct"/>
            <w:vAlign w:val="center"/>
          </w:tcPr>
          <w:p w14:paraId="5EF0CD70">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甘氨酸</w:t>
            </w:r>
          </w:p>
        </w:tc>
        <w:tc>
          <w:tcPr>
            <w:tcW w:w="1672" w:type="pct"/>
            <w:vAlign w:val="center"/>
          </w:tcPr>
          <w:p w14:paraId="0BACBAE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401</w:t>
            </w:r>
          </w:p>
        </w:tc>
      </w:tr>
      <w:tr w14:paraId="5BBCD5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3B8B080F">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w:t>
            </w:r>
          </w:p>
        </w:tc>
        <w:tc>
          <w:tcPr>
            <w:tcW w:w="1707" w:type="pct"/>
            <w:vAlign w:val="center"/>
          </w:tcPr>
          <w:p w14:paraId="26B5B7F0">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其他类</w:t>
            </w:r>
          </w:p>
        </w:tc>
        <w:tc>
          <w:tcPr>
            <w:tcW w:w="1109" w:type="pct"/>
            <w:vAlign w:val="center"/>
          </w:tcPr>
          <w:p w14:paraId="07365F83">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盐酸赛庚啶</w:t>
            </w:r>
          </w:p>
        </w:tc>
        <w:tc>
          <w:tcPr>
            <w:tcW w:w="1672" w:type="pct"/>
            <w:vAlign w:val="center"/>
          </w:tcPr>
          <w:p w14:paraId="0BB1BDB4">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1894</w:t>
            </w:r>
          </w:p>
        </w:tc>
      </w:tr>
      <w:tr w14:paraId="534479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66AFE699">
            <w:pPr>
              <w:adjustRightInd w:val="0"/>
              <w:snapToGrid w:val="0"/>
              <w:jc w:val="center"/>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备注</w:t>
            </w:r>
          </w:p>
        </w:tc>
        <w:tc>
          <w:tcPr>
            <w:tcW w:w="4488" w:type="pct"/>
            <w:gridSpan w:val="3"/>
            <w:vAlign w:val="center"/>
          </w:tcPr>
          <w:p w14:paraId="3C3E6946">
            <w:pPr>
              <w:adjustRightInd w:val="0"/>
              <w:snapToGrid w:val="0"/>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排水量计量位置与污染物排放监控位置相同，鼓励准入限值为国标基准排水量削减 10%。</w:t>
            </w:r>
          </w:p>
        </w:tc>
      </w:tr>
    </w:tbl>
    <w:p w14:paraId="0F2CDB39">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A.2 发酵类制药工业单位产品基准排水量准入限值</w:t>
      </w:r>
    </w:p>
    <w:p w14:paraId="12E7D983">
      <w:pPr>
        <w:adjustRightInd w:val="0"/>
        <w:snapToGrid w:val="0"/>
        <w:spacing w:line="580" w:lineRule="exact"/>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（单位：m</w:t>
      </w:r>
      <w:r>
        <w:rPr>
          <w:rFonts w:hint="default" w:ascii="Times New Roman" w:hAnsi="Times New Roman" w:eastAsia="仿宋_GB2312" w:cs="Times New Roman"/>
          <w:sz w:val="30"/>
          <w:szCs w:val="30"/>
          <w:vertAlign w:val="superscript"/>
        </w:rPr>
        <w:t>3</w:t>
      </w:r>
      <w:r>
        <w:rPr>
          <w:rFonts w:hint="default" w:ascii="Times New Roman" w:hAnsi="Times New Roman" w:eastAsia="仿宋_GB2312" w:cs="Times New Roman"/>
          <w:sz w:val="30"/>
          <w:szCs w:val="30"/>
        </w:rPr>
        <w:t>/t）</w:t>
      </w:r>
    </w:p>
    <w:tbl>
      <w:tblPr>
        <w:tblStyle w:val="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28"/>
        <w:gridCol w:w="3093"/>
        <w:gridCol w:w="2010"/>
        <w:gridCol w:w="3030"/>
      </w:tblGrid>
      <w:tr w14:paraId="37ACEE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505EBB8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序号</w:t>
            </w:r>
          </w:p>
        </w:tc>
        <w:tc>
          <w:tcPr>
            <w:tcW w:w="1707" w:type="pct"/>
            <w:vAlign w:val="center"/>
          </w:tcPr>
          <w:p w14:paraId="2EB58D2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药物种类</w:t>
            </w:r>
          </w:p>
        </w:tc>
        <w:tc>
          <w:tcPr>
            <w:tcW w:w="1109" w:type="pct"/>
            <w:vAlign w:val="center"/>
          </w:tcPr>
          <w:p w14:paraId="40DB27B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代表性药物</w:t>
            </w:r>
          </w:p>
        </w:tc>
        <w:tc>
          <w:tcPr>
            <w:tcW w:w="1672" w:type="pct"/>
            <w:vAlign w:val="center"/>
          </w:tcPr>
          <w:p w14:paraId="040DF22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国标（GB 21904）基准排水量</w:t>
            </w:r>
          </w:p>
        </w:tc>
      </w:tr>
      <w:tr w14:paraId="54FC43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43DD7E1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p>
        </w:tc>
        <w:tc>
          <w:tcPr>
            <w:tcW w:w="1707" w:type="pct"/>
            <w:vMerge w:val="restart"/>
            <w:vAlign w:val="center"/>
          </w:tcPr>
          <w:p w14:paraId="3C8BD3C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β- 内酰胺类抗生素</w:t>
            </w:r>
          </w:p>
        </w:tc>
        <w:tc>
          <w:tcPr>
            <w:tcW w:w="1109" w:type="pct"/>
            <w:vAlign w:val="center"/>
          </w:tcPr>
          <w:p w14:paraId="4B6A6BC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青霉素</w:t>
            </w:r>
          </w:p>
        </w:tc>
        <w:tc>
          <w:tcPr>
            <w:tcW w:w="1672" w:type="pct"/>
            <w:vAlign w:val="center"/>
          </w:tcPr>
          <w:p w14:paraId="5B715DE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1000</w:t>
            </w:r>
          </w:p>
        </w:tc>
      </w:tr>
      <w:tr w14:paraId="2BE27B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19C19820">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2FA053E8">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589EA54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头孢菌素</w:t>
            </w:r>
          </w:p>
        </w:tc>
        <w:tc>
          <w:tcPr>
            <w:tcW w:w="1672" w:type="pct"/>
            <w:vAlign w:val="center"/>
          </w:tcPr>
          <w:p w14:paraId="71E678E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1900</w:t>
            </w:r>
          </w:p>
        </w:tc>
      </w:tr>
      <w:tr w14:paraId="05859A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6E2C07AE">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704158E8">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4E205C44">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659DB44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1200</w:t>
            </w:r>
          </w:p>
        </w:tc>
      </w:tr>
      <w:tr w14:paraId="1A9571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5E21B92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p>
        </w:tc>
        <w:tc>
          <w:tcPr>
            <w:tcW w:w="1707" w:type="pct"/>
            <w:vMerge w:val="restart"/>
            <w:vAlign w:val="center"/>
          </w:tcPr>
          <w:p w14:paraId="6E5EE88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四环类抗生素</w:t>
            </w:r>
          </w:p>
        </w:tc>
        <w:tc>
          <w:tcPr>
            <w:tcW w:w="1109" w:type="pct"/>
            <w:vAlign w:val="center"/>
          </w:tcPr>
          <w:p w14:paraId="421EA04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土霉素、四环素</w:t>
            </w:r>
          </w:p>
        </w:tc>
        <w:tc>
          <w:tcPr>
            <w:tcW w:w="1672" w:type="pct"/>
            <w:vAlign w:val="center"/>
          </w:tcPr>
          <w:p w14:paraId="0F56875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750</w:t>
            </w:r>
          </w:p>
        </w:tc>
      </w:tr>
      <w:tr w14:paraId="4DDC95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597BA370">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5C5A91D9">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6FD6DB4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去甲基金霉素</w:t>
            </w:r>
          </w:p>
        </w:tc>
        <w:tc>
          <w:tcPr>
            <w:tcW w:w="1672" w:type="pct"/>
            <w:vAlign w:val="center"/>
          </w:tcPr>
          <w:p w14:paraId="1C6FC02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1200</w:t>
            </w:r>
          </w:p>
        </w:tc>
      </w:tr>
      <w:tr w14:paraId="243162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74328BD9">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3FA84D1F">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00366E6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金霉素</w:t>
            </w:r>
          </w:p>
        </w:tc>
        <w:tc>
          <w:tcPr>
            <w:tcW w:w="1672" w:type="pct"/>
            <w:vAlign w:val="center"/>
          </w:tcPr>
          <w:p w14:paraId="68F6991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500</w:t>
            </w:r>
          </w:p>
        </w:tc>
      </w:tr>
      <w:tr w14:paraId="123EC3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55D101B2">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4B7E37F3">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532442B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6B735B3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500</w:t>
            </w:r>
          </w:p>
        </w:tc>
      </w:tr>
      <w:tr w14:paraId="5E9E1C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3AA255A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w:t>
            </w:r>
          </w:p>
        </w:tc>
        <w:tc>
          <w:tcPr>
            <w:tcW w:w="1707" w:type="pct"/>
            <w:vMerge w:val="restart"/>
            <w:vAlign w:val="center"/>
          </w:tcPr>
          <w:p w14:paraId="61CE25B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氨基糖苷类抗生素</w:t>
            </w:r>
          </w:p>
        </w:tc>
        <w:tc>
          <w:tcPr>
            <w:tcW w:w="1109" w:type="pct"/>
            <w:vAlign w:val="center"/>
          </w:tcPr>
          <w:p w14:paraId="79CBEE3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链霉、双氢链霉素</w:t>
            </w:r>
          </w:p>
        </w:tc>
        <w:tc>
          <w:tcPr>
            <w:tcW w:w="1672" w:type="pct"/>
            <w:vAlign w:val="center"/>
          </w:tcPr>
          <w:p w14:paraId="478312E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1450</w:t>
            </w:r>
          </w:p>
        </w:tc>
      </w:tr>
      <w:tr w14:paraId="7A4F35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10652923">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35A92B59">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47ABD31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庆大霉素</w:t>
            </w:r>
          </w:p>
        </w:tc>
        <w:tc>
          <w:tcPr>
            <w:tcW w:w="1672" w:type="pct"/>
            <w:vAlign w:val="center"/>
          </w:tcPr>
          <w:p w14:paraId="482B1A73">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6500</w:t>
            </w:r>
          </w:p>
        </w:tc>
      </w:tr>
      <w:tr w14:paraId="76497F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2F039733">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628B2640">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44E8BCD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大观霉素</w:t>
            </w:r>
          </w:p>
        </w:tc>
        <w:tc>
          <w:tcPr>
            <w:tcW w:w="1672" w:type="pct"/>
            <w:vAlign w:val="center"/>
          </w:tcPr>
          <w:p w14:paraId="05C7601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1500</w:t>
            </w:r>
          </w:p>
        </w:tc>
      </w:tr>
      <w:tr w14:paraId="4F2B42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6484CBA3">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30F3F9CC">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56502B3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1C21124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3000</w:t>
            </w:r>
          </w:p>
        </w:tc>
      </w:tr>
      <w:tr w14:paraId="090B95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46A00B3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w:t>
            </w:r>
          </w:p>
        </w:tc>
        <w:tc>
          <w:tcPr>
            <w:tcW w:w="1707" w:type="pct"/>
            <w:vMerge w:val="restart"/>
            <w:vAlign w:val="center"/>
          </w:tcPr>
          <w:p w14:paraId="4CD239D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大环内酯类抗生素</w:t>
            </w:r>
          </w:p>
        </w:tc>
        <w:tc>
          <w:tcPr>
            <w:tcW w:w="1109" w:type="pct"/>
            <w:vAlign w:val="center"/>
          </w:tcPr>
          <w:p w14:paraId="409F9DE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红霉素</w:t>
            </w:r>
          </w:p>
        </w:tc>
        <w:tc>
          <w:tcPr>
            <w:tcW w:w="1672" w:type="pct"/>
            <w:vAlign w:val="center"/>
          </w:tcPr>
          <w:p w14:paraId="58DC7D54">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850</w:t>
            </w:r>
          </w:p>
        </w:tc>
      </w:tr>
      <w:tr w14:paraId="4F2A76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5C74BDB1">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6C991806">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04EE65B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麦白霉素</w:t>
            </w:r>
          </w:p>
        </w:tc>
        <w:tc>
          <w:tcPr>
            <w:tcW w:w="1672" w:type="pct"/>
            <w:vAlign w:val="center"/>
          </w:tcPr>
          <w:p w14:paraId="0026C94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750</w:t>
            </w:r>
          </w:p>
        </w:tc>
      </w:tr>
      <w:tr w14:paraId="36D4BB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4FDB7F59">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62689F89">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26AD6C4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31171DC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850</w:t>
            </w:r>
          </w:p>
        </w:tc>
      </w:tr>
      <w:tr w14:paraId="3FDE32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6D1E2AB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w:t>
            </w:r>
          </w:p>
        </w:tc>
        <w:tc>
          <w:tcPr>
            <w:tcW w:w="1707" w:type="pct"/>
            <w:vMerge w:val="restart"/>
            <w:vAlign w:val="center"/>
          </w:tcPr>
          <w:p w14:paraId="08E9141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多肽类抗生素</w:t>
            </w:r>
          </w:p>
        </w:tc>
        <w:tc>
          <w:tcPr>
            <w:tcW w:w="1109" w:type="pct"/>
            <w:vAlign w:val="center"/>
          </w:tcPr>
          <w:p w14:paraId="445C89C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去甲万古霉素</w:t>
            </w:r>
          </w:p>
        </w:tc>
        <w:tc>
          <w:tcPr>
            <w:tcW w:w="1672" w:type="pct"/>
            <w:vAlign w:val="center"/>
          </w:tcPr>
          <w:p w14:paraId="3C9AEA8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5000</w:t>
            </w:r>
          </w:p>
        </w:tc>
      </w:tr>
      <w:tr w14:paraId="4BD850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456B60E4">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417B9CA9">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7A19A90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卷曲霉素</w:t>
            </w:r>
          </w:p>
        </w:tc>
        <w:tc>
          <w:tcPr>
            <w:tcW w:w="1672" w:type="pct"/>
            <w:vAlign w:val="center"/>
          </w:tcPr>
          <w:p w14:paraId="5400ED14">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6500</w:t>
            </w:r>
          </w:p>
        </w:tc>
      </w:tr>
      <w:tr w14:paraId="596925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24138ECD">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11861E23">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00C0A33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7257D46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5000</w:t>
            </w:r>
          </w:p>
        </w:tc>
      </w:tr>
      <w:tr w14:paraId="01F8D3E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740C8FF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6</w:t>
            </w:r>
          </w:p>
        </w:tc>
        <w:tc>
          <w:tcPr>
            <w:tcW w:w="1707" w:type="pct"/>
            <w:vAlign w:val="center"/>
          </w:tcPr>
          <w:p w14:paraId="14532CE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其他类</w:t>
            </w:r>
          </w:p>
        </w:tc>
        <w:tc>
          <w:tcPr>
            <w:tcW w:w="1109" w:type="pct"/>
            <w:vAlign w:val="center"/>
          </w:tcPr>
          <w:p w14:paraId="72E3C79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洁霉素、阿霉素、利福霉素等</w:t>
            </w:r>
          </w:p>
        </w:tc>
        <w:tc>
          <w:tcPr>
            <w:tcW w:w="1672" w:type="pct"/>
            <w:vAlign w:val="center"/>
          </w:tcPr>
          <w:p w14:paraId="686C432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6000</w:t>
            </w:r>
          </w:p>
        </w:tc>
      </w:tr>
      <w:tr w14:paraId="7EAADE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6EA3079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7</w:t>
            </w:r>
          </w:p>
        </w:tc>
        <w:tc>
          <w:tcPr>
            <w:tcW w:w="1707" w:type="pct"/>
            <w:vMerge w:val="restart"/>
            <w:vAlign w:val="center"/>
          </w:tcPr>
          <w:p w14:paraId="05A4D05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维生素类</w:t>
            </w:r>
          </w:p>
        </w:tc>
        <w:tc>
          <w:tcPr>
            <w:tcW w:w="1109" w:type="pct"/>
            <w:vAlign w:val="center"/>
          </w:tcPr>
          <w:p w14:paraId="097BAAB8">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维生素 C</w:t>
            </w:r>
          </w:p>
        </w:tc>
        <w:tc>
          <w:tcPr>
            <w:tcW w:w="1672" w:type="pct"/>
            <w:vAlign w:val="center"/>
          </w:tcPr>
          <w:p w14:paraId="6709154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300</w:t>
            </w:r>
          </w:p>
        </w:tc>
      </w:tr>
      <w:tr w14:paraId="1D7CF3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53DE23C9">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450117F4">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74C0219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维生素 B12</w:t>
            </w:r>
          </w:p>
        </w:tc>
        <w:tc>
          <w:tcPr>
            <w:tcW w:w="1672" w:type="pct"/>
            <w:vAlign w:val="center"/>
          </w:tcPr>
          <w:p w14:paraId="1ABDC8A3">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115000</w:t>
            </w:r>
          </w:p>
        </w:tc>
      </w:tr>
      <w:tr w14:paraId="0B9D00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05A750B8">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0DD54BA1">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46747760">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6BD22A95">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30000</w:t>
            </w:r>
          </w:p>
        </w:tc>
      </w:tr>
      <w:tr w14:paraId="5C338E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restart"/>
            <w:vAlign w:val="center"/>
          </w:tcPr>
          <w:p w14:paraId="0A3BE777">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w:t>
            </w:r>
          </w:p>
        </w:tc>
        <w:tc>
          <w:tcPr>
            <w:tcW w:w="1707" w:type="pct"/>
            <w:vMerge w:val="restart"/>
            <w:vAlign w:val="center"/>
          </w:tcPr>
          <w:p w14:paraId="697C9BB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氨基酸类</w:t>
            </w:r>
          </w:p>
        </w:tc>
        <w:tc>
          <w:tcPr>
            <w:tcW w:w="1109" w:type="pct"/>
            <w:vAlign w:val="center"/>
          </w:tcPr>
          <w:p w14:paraId="7328087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谷氨酸</w:t>
            </w:r>
          </w:p>
        </w:tc>
        <w:tc>
          <w:tcPr>
            <w:tcW w:w="1672" w:type="pct"/>
            <w:vAlign w:val="center"/>
          </w:tcPr>
          <w:p w14:paraId="6AFE4EB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80</w:t>
            </w:r>
          </w:p>
        </w:tc>
      </w:tr>
      <w:tr w14:paraId="076341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5DA4E8B6">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6D1AF281">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704AC62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赖氨酸</w:t>
            </w:r>
          </w:p>
        </w:tc>
        <w:tc>
          <w:tcPr>
            <w:tcW w:w="1672" w:type="pct"/>
            <w:vAlign w:val="center"/>
          </w:tcPr>
          <w:p w14:paraId="5A94FF2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50</w:t>
            </w:r>
          </w:p>
        </w:tc>
      </w:tr>
      <w:tr w14:paraId="3544CF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Merge w:val="continue"/>
            <w:vAlign w:val="center"/>
          </w:tcPr>
          <w:p w14:paraId="7BFF38B2">
            <w:pPr>
              <w:adjustRightInd w:val="0"/>
              <w:snapToGrid w:val="0"/>
              <w:jc w:val="center"/>
              <w:rPr>
                <w:rFonts w:hint="default" w:ascii="Times New Roman" w:hAnsi="Times New Roman" w:eastAsia="仿宋_GB2312" w:cs="Times New Roman"/>
                <w:kern w:val="0"/>
                <w:sz w:val="30"/>
                <w:szCs w:val="30"/>
              </w:rPr>
            </w:pPr>
          </w:p>
        </w:tc>
        <w:tc>
          <w:tcPr>
            <w:tcW w:w="1707" w:type="pct"/>
            <w:vMerge w:val="continue"/>
            <w:vAlign w:val="center"/>
          </w:tcPr>
          <w:p w14:paraId="155D9E28">
            <w:pPr>
              <w:adjustRightInd w:val="0"/>
              <w:snapToGrid w:val="0"/>
              <w:jc w:val="center"/>
              <w:rPr>
                <w:rFonts w:hint="default" w:ascii="Times New Roman" w:hAnsi="Times New Roman" w:eastAsia="仿宋_GB2312" w:cs="Times New Roman"/>
                <w:kern w:val="0"/>
                <w:sz w:val="30"/>
                <w:szCs w:val="30"/>
              </w:rPr>
            </w:pPr>
          </w:p>
        </w:tc>
        <w:tc>
          <w:tcPr>
            <w:tcW w:w="1109" w:type="pct"/>
            <w:vAlign w:val="center"/>
          </w:tcPr>
          <w:p w14:paraId="212E4F4A">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w:t>
            </w:r>
          </w:p>
        </w:tc>
        <w:tc>
          <w:tcPr>
            <w:tcW w:w="1672" w:type="pct"/>
            <w:vAlign w:val="center"/>
          </w:tcPr>
          <w:p w14:paraId="66ECE9BC">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200</w:t>
            </w:r>
          </w:p>
        </w:tc>
      </w:tr>
      <w:tr w14:paraId="5DC42C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7CF2D6E0">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9</w:t>
            </w:r>
          </w:p>
        </w:tc>
        <w:tc>
          <w:tcPr>
            <w:tcW w:w="1707" w:type="pct"/>
            <w:vAlign w:val="center"/>
          </w:tcPr>
          <w:p w14:paraId="5905D425">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其他发酵类</w:t>
            </w:r>
          </w:p>
        </w:tc>
        <w:tc>
          <w:tcPr>
            <w:tcW w:w="1109" w:type="pct"/>
            <w:vAlign w:val="center"/>
          </w:tcPr>
          <w:p w14:paraId="1DF7F624">
            <w:pPr>
              <w:adjustRightInd w:val="0"/>
              <w:snapToGrid w:val="0"/>
              <w:jc w:val="center"/>
              <w:rPr>
                <w:rFonts w:hint="default" w:ascii="Times New Roman" w:hAnsi="Times New Roman" w:eastAsia="仿宋_GB2312" w:cs="Times New Roman"/>
                <w:kern w:val="0"/>
                <w:sz w:val="30"/>
                <w:szCs w:val="30"/>
              </w:rPr>
            </w:pPr>
          </w:p>
        </w:tc>
        <w:tc>
          <w:tcPr>
            <w:tcW w:w="1672" w:type="pct"/>
            <w:vAlign w:val="center"/>
          </w:tcPr>
          <w:p w14:paraId="0107CFD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1500</w:t>
            </w:r>
          </w:p>
        </w:tc>
      </w:tr>
      <w:tr w14:paraId="22648C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12" w:type="pct"/>
            <w:vAlign w:val="center"/>
          </w:tcPr>
          <w:p w14:paraId="05BF80F2">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备注</w:t>
            </w:r>
          </w:p>
        </w:tc>
        <w:tc>
          <w:tcPr>
            <w:tcW w:w="4488" w:type="pct"/>
            <w:gridSpan w:val="3"/>
            <w:vAlign w:val="center"/>
          </w:tcPr>
          <w:p w14:paraId="1D9A3429">
            <w:pPr>
              <w:adjustRightInd w:val="0"/>
              <w:snapToGrid w:val="0"/>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排水量计量位置与污染物排放监控位置相同，鼓励准入限值为国标基准排水量削减 10%。</w:t>
            </w:r>
          </w:p>
        </w:tc>
      </w:tr>
    </w:tbl>
    <w:p w14:paraId="15DC7089">
      <w:pPr>
        <w:adjustRightInd w:val="0"/>
        <w:snapToGrid w:val="0"/>
        <w:spacing w:before="312" w:beforeLines="100" w:line="580" w:lineRule="exact"/>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A.3 生物工程类制药工业单位产品基准排水量准入限值</w:t>
      </w:r>
    </w:p>
    <w:p w14:paraId="401F4217">
      <w:pPr>
        <w:adjustRightInd w:val="0"/>
        <w:snapToGrid w:val="0"/>
        <w:spacing w:line="580" w:lineRule="exact"/>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（单位：m</w:t>
      </w:r>
      <w:r>
        <w:rPr>
          <w:rFonts w:hint="default" w:ascii="Times New Roman" w:hAnsi="Times New Roman" w:eastAsia="仿宋_GB2312" w:cs="Times New Roman"/>
          <w:sz w:val="30"/>
          <w:szCs w:val="30"/>
          <w:vertAlign w:val="superscript"/>
        </w:rPr>
        <w:t>3</w:t>
      </w:r>
      <w:r>
        <w:rPr>
          <w:rFonts w:hint="default" w:ascii="Times New Roman" w:hAnsi="Times New Roman" w:eastAsia="仿宋_GB2312" w:cs="Times New Roman"/>
          <w:sz w:val="30"/>
          <w:szCs w:val="30"/>
        </w:rPr>
        <w:t>/kg）</w:t>
      </w:r>
    </w:p>
    <w:tbl>
      <w:tblPr>
        <w:tblStyle w:val="8"/>
        <w:tblW w:w="495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79"/>
        <w:gridCol w:w="3936"/>
        <w:gridCol w:w="3855"/>
      </w:tblGrid>
      <w:tr w14:paraId="5AB25B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5DA42EA0">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序号</w:t>
            </w:r>
          </w:p>
        </w:tc>
        <w:tc>
          <w:tcPr>
            <w:tcW w:w="2194" w:type="pct"/>
            <w:vAlign w:val="center"/>
          </w:tcPr>
          <w:p w14:paraId="14BC46F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药物种类</w:t>
            </w:r>
          </w:p>
        </w:tc>
        <w:tc>
          <w:tcPr>
            <w:tcW w:w="2149" w:type="pct"/>
            <w:vAlign w:val="center"/>
          </w:tcPr>
          <w:p w14:paraId="02CCDC5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b/>
                <w:bCs/>
                <w:kern w:val="0"/>
                <w:sz w:val="30"/>
                <w:szCs w:val="30"/>
              </w:rPr>
              <w:t>国标（GB 21904）基准排水量</w:t>
            </w:r>
          </w:p>
        </w:tc>
      </w:tr>
      <w:tr w14:paraId="7497E9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329354A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p>
        </w:tc>
        <w:tc>
          <w:tcPr>
            <w:tcW w:w="2194" w:type="pct"/>
            <w:vAlign w:val="center"/>
          </w:tcPr>
          <w:p w14:paraId="70A1B9FD">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细胞因子</w:t>
            </w:r>
            <w:r>
              <w:rPr>
                <w:rFonts w:hint="default" w:ascii="Times New Roman" w:hAnsi="Times New Roman" w:eastAsia="仿宋_GB2312" w:cs="Times New Roman"/>
                <w:kern w:val="0"/>
                <w:sz w:val="30"/>
                <w:szCs w:val="30"/>
                <w:vertAlign w:val="superscript"/>
              </w:rPr>
              <w:t>1</w:t>
            </w:r>
            <w:r>
              <w:rPr>
                <w:rFonts w:hint="default" w:ascii="Times New Roman" w:hAnsi="Times New Roman" w:eastAsia="仿宋_GB2312" w:cs="Times New Roman"/>
                <w:kern w:val="0"/>
                <w:sz w:val="30"/>
                <w:szCs w:val="30"/>
              </w:rPr>
              <w:t>、生长因子、人生长激素</w:t>
            </w:r>
          </w:p>
        </w:tc>
        <w:tc>
          <w:tcPr>
            <w:tcW w:w="2149" w:type="pct"/>
            <w:vAlign w:val="center"/>
          </w:tcPr>
          <w:p w14:paraId="78DD5751">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80000</w:t>
            </w:r>
          </w:p>
        </w:tc>
      </w:tr>
      <w:tr w14:paraId="5F98EA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3C2B34F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w:t>
            </w:r>
          </w:p>
        </w:tc>
        <w:tc>
          <w:tcPr>
            <w:tcW w:w="2194" w:type="pct"/>
            <w:vAlign w:val="center"/>
          </w:tcPr>
          <w:p w14:paraId="637E35F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治疗性酶</w:t>
            </w:r>
            <w:r>
              <w:rPr>
                <w:rFonts w:hint="default" w:ascii="Times New Roman" w:hAnsi="Times New Roman" w:eastAsia="仿宋_GB2312" w:cs="Times New Roman"/>
                <w:kern w:val="0"/>
                <w:sz w:val="30"/>
                <w:szCs w:val="30"/>
                <w:vertAlign w:val="superscript"/>
              </w:rPr>
              <w:t>2</w:t>
            </w:r>
          </w:p>
        </w:tc>
        <w:tc>
          <w:tcPr>
            <w:tcW w:w="2149" w:type="pct"/>
            <w:vAlign w:val="center"/>
          </w:tcPr>
          <w:p w14:paraId="23E08A4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200</w:t>
            </w:r>
          </w:p>
        </w:tc>
      </w:tr>
      <w:tr w14:paraId="45DA54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3D638D29">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w:t>
            </w:r>
          </w:p>
        </w:tc>
        <w:tc>
          <w:tcPr>
            <w:tcW w:w="2194" w:type="pct"/>
            <w:vAlign w:val="center"/>
          </w:tcPr>
          <w:p w14:paraId="532C47A3">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基因工程疫苗</w:t>
            </w:r>
          </w:p>
        </w:tc>
        <w:tc>
          <w:tcPr>
            <w:tcW w:w="2149" w:type="pct"/>
            <w:vAlign w:val="center"/>
          </w:tcPr>
          <w:p w14:paraId="5BD91B1B">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250</w:t>
            </w:r>
          </w:p>
        </w:tc>
      </w:tr>
      <w:tr w14:paraId="2090D5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6F695BAE">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4</w:t>
            </w:r>
          </w:p>
        </w:tc>
        <w:tc>
          <w:tcPr>
            <w:tcW w:w="2194" w:type="pct"/>
            <w:vAlign w:val="center"/>
          </w:tcPr>
          <w:p w14:paraId="78B9BCDF">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其他类</w:t>
            </w:r>
          </w:p>
        </w:tc>
        <w:tc>
          <w:tcPr>
            <w:tcW w:w="2149" w:type="pct"/>
            <w:vAlign w:val="center"/>
          </w:tcPr>
          <w:p w14:paraId="6988721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80</w:t>
            </w:r>
          </w:p>
        </w:tc>
      </w:tr>
      <w:tr w14:paraId="6DC96C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781B0F46">
            <w:pPr>
              <w:adjustRightInd w:val="0"/>
              <w:snapToGrid w:val="0"/>
              <w:jc w:val="center"/>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备注</w:t>
            </w:r>
          </w:p>
        </w:tc>
        <w:tc>
          <w:tcPr>
            <w:tcW w:w="4343" w:type="pct"/>
            <w:gridSpan w:val="2"/>
            <w:vAlign w:val="center"/>
          </w:tcPr>
          <w:p w14:paraId="356943AB">
            <w:pPr>
              <w:adjustRightInd w:val="0"/>
              <w:snapToGrid w:val="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 xml:space="preserve">1）细胞因子主要指干扰素类、白介素类、肿瘤坏死因子及相类似药物。 </w:t>
            </w:r>
          </w:p>
          <w:p w14:paraId="2DCE6215">
            <w:pPr>
              <w:adjustRightInd w:val="0"/>
              <w:snapToGrid w:val="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2）治疗性酶主要指重组溶栓剂、重组抗凝剂、重组抗凝血酶、治疗用酶及相类似药物。</w:t>
            </w:r>
          </w:p>
          <w:p w14:paraId="0FAC9DDB">
            <w:pPr>
              <w:adjustRightInd w:val="0"/>
              <w:snapToGrid w:val="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3）排水量计量位置与污染物排放监控位置相同，鼓励准入限值为国标基准排水量削减 10%。</w:t>
            </w:r>
          </w:p>
        </w:tc>
      </w:tr>
    </w:tbl>
    <w:p w14:paraId="2F7AABFA">
      <w:pPr>
        <w:widowControl/>
        <w:rPr>
          <w:rFonts w:hint="default" w:ascii="Times New Roman" w:hAnsi="Times New Roman" w:eastAsia="仿宋_GB2312" w:cs="Times New Roman"/>
          <w:sz w:val="32"/>
          <w:szCs w:val="32"/>
        </w:rPr>
      </w:pPr>
    </w:p>
    <w:p w14:paraId="24C49B1C">
      <w:pPr>
        <w:rPr>
          <w:rFonts w:hint="default" w:ascii="Times New Roman" w:hAnsi="Times New Roman" w:eastAsia="仿宋_GB2312" w:cs="Times New Roman"/>
          <w:sz w:val="32"/>
          <w:szCs w:val="32"/>
        </w:rPr>
      </w:pPr>
    </w:p>
    <w:p w14:paraId="139E652D">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217513B">
      <w:pPr>
        <w:rPr>
          <w:rFonts w:hint="eastAsia" w:ascii="黑体" w:hAnsi="黑体" w:eastAsia="黑体" w:cs="黑体"/>
          <w:sz w:val="32"/>
          <w:szCs w:val="32"/>
          <w:lang w:eastAsia="zh"/>
        </w:rPr>
      </w:pPr>
      <w:r>
        <w:rPr>
          <w:rFonts w:hint="eastAsia" w:ascii="黑体" w:hAnsi="黑体" w:eastAsia="黑体" w:cs="黑体"/>
          <w:sz w:val="32"/>
          <w:szCs w:val="32"/>
          <w:lang w:eastAsia="zh"/>
        </w:rPr>
        <w:t>附件2</w:t>
      </w:r>
    </w:p>
    <w:p w14:paraId="024F3582">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宁夏回族自治区农药行业环境准入指导意见</w:t>
      </w:r>
    </w:p>
    <w:p w14:paraId="5400C891">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3D3F9CF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深入贯彻习近平生态文明思想和党的二十届四中全会精神，认真落实党中央、国务院关于深入推进美丽中国建设的战略部署要求，加快推动宁夏回族自治区农药行业全面绿色转型，加强全产业链源头管控，依据国家和自治区有关法律法规、产业政策、生态环境保护要求，制定本《意见》。</w:t>
      </w:r>
    </w:p>
    <w:p w14:paraId="17C12A3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14:paraId="563523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规定了我区农药行业产业政策与空间准入、技术装备水平、污染防治措施、新污染物环境管控、绿色低碳发展、污染物排放总量控制、环境风险防范措施以及环境管理等方面的基本要求。涵盖了《国民经济行业分类》所列的C263农药制造建设项目，包括化学农药制造（C2631）、生物化学农药及微生物农药制造（C2632）。适用于我区新建、改扩建、迁建农药行业建设项目环境影响评价、环境保护设施设计、竣工环境保护验收、排污许可证核发及其投产后的污染物排放管理，也适用于农药研发机构建设项目及供农药生产的农药中间体建设项目和我区现有农药行业建设项目的整治、相关环境管理活动。</w:t>
      </w:r>
    </w:p>
    <w:p w14:paraId="2958219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所指现有农药行业建设项目是指本《意见》实施之日前已建成投产或环境影响评价文件已通过审批的建设项目;新建、改扩建、迁建农药行业建设项目是指本《意见》实施之日起环境影响评价文件通过审批的新建、改扩建和迁建的农药行业建设项目。</w:t>
      </w:r>
    </w:p>
    <w:p w14:paraId="49A7A47C">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二、产业政策与空间准入</w:t>
      </w:r>
    </w:p>
    <w:p w14:paraId="7389234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（一）产业政策</w:t>
      </w:r>
    </w:p>
    <w:p w14:paraId="68C4E8E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迁）建、改扩建农药项目应符合相关法律法规和政策，符合国家及地方产业结构调整、落后产能淘汰的相关要求，新建项目应采用先进生产工艺和设备，禁止新增《产业结构调整指导目录》中限制类、淘汰类的落后生产工艺、设备和产品。逐步淘汰退出抗性强、药效差、风险高的老旧农药品种和剂型,严格管控具有环境持久性、生物累积性等特性的高毒高风险农药及助剂，加快发展高效、安全、环境友好型农药及中间体，以及水基化、超低容量、缓释等制剂剂型。</w:t>
      </w:r>
    </w:p>
    <w:p w14:paraId="2F3E68B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（二）空间准入</w:t>
      </w:r>
    </w:p>
    <w:p w14:paraId="2B59E85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新建、改扩建、迁建农药项目选址必须符合国土空间规划和区域生态环境分区管控要求。</w:t>
      </w:r>
    </w:p>
    <w:p w14:paraId="6E0EC40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新建、改扩建、迁建农药项目必须进入产业园区并符合园区规划、规划环评及其审查意见的要求，鼓励园区外现有农药及中间体生产企业搬迁至化工园区、化工集中区。</w:t>
      </w:r>
    </w:p>
    <w:p w14:paraId="2C01AEF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三、工艺与装备</w:t>
      </w:r>
    </w:p>
    <w:p w14:paraId="6F81BE9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鼓励引进国内外先进的设计理念、生产技术和管理制度。鼓励农药企业开发反应选择性好、工艺流程短、连续化和自动化水平高的产品生产技术和过程资源化程度高的工艺，开发先进的化学工程技术和装备。推动农药生产企业使用新技术（定向转化/拆分技术、生物酶催化技术、微通道反应器及管式反应器工艺技术、近红外在线分析技术、自动化技术等）、新材料（非卤代烃和非芳香烃类溶剂、纳米材料、生物可降解材料等），提高产品收得率，推进减污降碳。</w:t>
      </w:r>
    </w:p>
    <w:p w14:paraId="5511517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用无毒、低毒、低臭、低反应活性的原料替代高毒、恶臭或高反应活性的原料。对生产中使用剧毒化学品、具有“三致”毒理特性的物质、具有明显恶臭影响特征的物质和列为优先控制化学品名录的物质的项目，应采取措施严格控制相应污染物的产生。</w:t>
      </w:r>
    </w:p>
    <w:p w14:paraId="18B3B22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（三）新建生产车间原则上应采取垂直布置流程，宜提升工艺装备水平，采用连续化、自动化、密闭性高的生产工艺和设备，减少物料转运次数，通过合理布置实现全封闭生产。</w:t>
      </w:r>
    </w:p>
    <w:p w14:paraId="158E78A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（四）鼓励采用《农药制造工业污染防治可行技术指南》(HJ 1293)中推荐的污染防治技术措施，针对生产过程中污染源和污染物组分性质的差异，进行分类、分质的收集并处理以实现达标排放。开展源头-过程-末端全流程挥发性有机物综合治理，切实加强无组织排放管控。通过优化生产设备选型、采用密闭式作业、建立密闭式负压废气收集系统等手段，减少无组织废气排放。</w:t>
      </w:r>
    </w:p>
    <w:p w14:paraId="6C29AB2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四、污染防治措施</w:t>
      </w:r>
    </w:p>
    <w:p w14:paraId="41B28F3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（一）水污染防治措施</w:t>
      </w:r>
    </w:p>
    <w:p w14:paraId="698A95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废水应分质收集，做到“清污分流、 雨污分流、污污分流”，初期雨水应收集并排至污水处理设施。各企业每处生产厂区只能设一个污水排放口，并按照有关规定安装在线监测监控设施。合理设置雨水排放口，配备雨水自动切换系统，宜实施雨水排放口智能化监控。</w:t>
      </w:r>
    </w:p>
    <w:p w14:paraId="75CDC2B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配套合适的生产废水预处理措施和设施，污水处理工艺的设计应考虑生产过程使用或产生的高毒害或生物抑制性强、难降解有机物的处理单元，高氨氮、高磷酸盐、高盐分、高浓度难降解等废水应配套单独的预处理措施，高盐分母液应配套脱盐设施或采取其他先进技术进行处理。鼓励高浓度、难降解有机废水（液）采用焚烧方式处理。涉及《污水综合排放标准》（GB8978）中第一类污染物和《有毒有害水污染物名录》中所列污染物的，应对相关污染物加强监控。</w:t>
      </w:r>
    </w:p>
    <w:p w14:paraId="064E5E6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各产品排污系数要低于《农药工业水污染物排放标准》（GB 21523）中的单位产品基准排水量相关要求，并按照削减10%以上的要求进行控制。</w:t>
      </w:r>
    </w:p>
    <w:p w14:paraId="21A49EE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（二）大气污染防治措施</w:t>
      </w:r>
    </w:p>
    <w:p w14:paraId="2FF2943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鼓励采用密闭一体化生产技术，对生产过程中产生的废气进行分类收集和处理。对于涉及VOCs 的物料储存设施、生产设备、敞开液面等无组织排放源，应按照《农药制造工业大气污染物排放标准》（GB 39727）的要求采取相应的污染防治措施。采取分类、适用技术处理各类废气污染物。酸/碱性废气可采用水吸收、碱/酸吸收；有机废气优先考虑低温冷凝或蒸馏等适用技术回收物料，并对废气进行有效收集和有针对性地焚烧、吸收、吸附处理，特别关注对恶臭污染物的除臭处置，确保排气筒与厂界污染物排放达到国家和地方规定的控制标准限值要求。加强恶臭治理，对周边敏感目标产生异味影响的建设项目，应在确保排放达标基础上，进一步强化恶臭控制措施。</w:t>
      </w:r>
    </w:p>
    <w:p w14:paraId="3BE2700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应对泵、压缩机、阀门、法兰等易发生泄漏的设备与管线组件，制定泄漏检测与修复（LDAR）计划，定期检测、及时修复，防止或减少跑、冒、滴、漏现象。</w:t>
      </w:r>
    </w:p>
    <w:p w14:paraId="4A989A5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（三）土壤及地下水污染防治措施</w:t>
      </w:r>
    </w:p>
    <w:p w14:paraId="05BE282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按照“源头控制、分区防控、污染监控”的原则确定防治措施。</w:t>
      </w:r>
    </w:p>
    <w:p w14:paraId="65F8E6A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有毒有害物质的生产装置、储存场所、储罐和管道、污水处理池、应急池、固体废物贮存场所等，应当采取有效措施，防止有毒有害物质渗漏、流失、扬散，避免土壤和地下水受到污染。输送有毒有害物质和工艺废水的管线须采用地上明管或架空敷设的方式，设计、建设和安装有关防腐蚀、防泄漏设施和泄漏监测装置。</w:t>
      </w:r>
    </w:p>
    <w:p w14:paraId="62DC062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农药及中间体生产企业应列为或参照土壤环境污染重点监管单位进行管理，按照相关要求定期开展厂区及周边环境的土壤和地下水监测，并建立污染隐患排查治理制度。</w:t>
      </w:r>
    </w:p>
    <w:p w14:paraId="1B7CB0C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（四）固体废物污染防治措施</w:t>
      </w:r>
    </w:p>
    <w:p w14:paraId="5FEB316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资源化、减量化、无害化”的原则，对固体废物进行分类收集、规范处置。鼓励企业通过改进工艺等方式减少固体废物的产生，并在符合相关政策标准的前提下积极开展固体废物的综合利用。农药行业建设项目应要落实固体废物综合利用主体责任，明确综合利用措施并按照国家和自治区相关要求落实综合利用率指标。鼓励高盐废水分类收集、提盐后分质预处理，降低废盐产生量和危害性，鼓励废盐资源化利用。资源化产物应按照《固体废物鉴别标准 通则》（GB34330）开展属性鉴别，并根据鉴别结果进行管理。</w:t>
      </w:r>
    </w:p>
    <w:p w14:paraId="0BB8C8C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国家危险废物名录》，对未列入《名录》不能排除危险特性且未经鉴别的固体废物，从严按照危险废物进行妥善贮存和处置。危险废物产生企业厂内必须设置危险废物贮存设施，贮存设施的选址设计及运行管理须严格遵守《危险废物贮存污染控制标准》有关要求。企业自建危险废物焚烧装置的，焚烧装置污染物排放须满足《危险废物焚烧污染控制标准》有关要求。危险废物的转移、处置和综合利用须遵守国家、自治区相关规定。</w:t>
      </w:r>
    </w:p>
    <w:p w14:paraId="0549BB2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危险废物和一般工业固体废物贮存和处置应符合《危险废物贮存污染控制标准》（GB 18597）、《一般工业固体废物贮存和填埋污染控制标准》（GB 18599）等要求。</w:t>
      </w:r>
    </w:p>
    <w:p w14:paraId="7EDFC2B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（五）噪声污染防治措施</w:t>
      </w:r>
    </w:p>
    <w:p w14:paraId="16DFD86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优化厂区平面布置，优先选用低噪声设备和工艺，采取减振、隔声、消声等措施有效控制噪声污染，厂界噪声满足《工业企业厂界环境噪声排放标准》（GB 12348-2008）要求。</w:t>
      </w:r>
    </w:p>
    <w:p w14:paraId="2D7E2A7F">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五、环境风险防控措施</w:t>
      </w:r>
    </w:p>
    <w:p w14:paraId="7A5E1BB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在满足安全设计生产的基础上，提出合理有效的污染治理和环境风险防范措施，严控项目环境风险。必须设置事故池贮存事故废水（含消防下水），事故池有效容积须可容纳最大事故状态所产生的废水量。事故池宜采取地下式并布置在厂区地势最低处，事故源切断应分别设置手、自动系统。事故废水须进行有效监控和处理，防止事故废水直接外排。</w:t>
      </w:r>
    </w:p>
    <w:p w14:paraId="3501C03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规定提出突发环境事件应急预案编制要求，配备满足要求的环境风险防范措施和应急设施，定期开展演练，构建与当地政府和相关部门以及周边企业、园区相衔接的区域环境风险联防联控机制，建立环境风险防控体系，防止事故废水外溢。</w:t>
      </w:r>
    </w:p>
    <w:p w14:paraId="689B1C6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六、新污染物管控</w:t>
      </w:r>
    </w:p>
    <w:p w14:paraId="4D4717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严格落实《重点管控新污染物清单》及《宁夏回族自治区重点管控新污染物补充清单》管控要求，严格控制新污染物的产生与排放，按照重点管控新污染物清单要求，采取禁止、限制、限排等环境风险管控措施。</w:t>
      </w:r>
    </w:p>
    <w:p w14:paraId="424F77A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七、绿色低碳发展</w:t>
      </w:r>
    </w:p>
    <w:p w14:paraId="438E6E4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（一）编制环境影响报告书的农药行业建设项目须将温室气体排放评价内容纳入建设项目环境影响评价。推进减污降碳协同增效，推动减碳技术创新示范应用。</w:t>
      </w:r>
    </w:p>
    <w:p w14:paraId="38759B7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（二）生产各原辅料、中间产物、产品和排放的污染物中涉及《优先控制化学品名录》中所列物质的，应按照有关法律法规的要求，开展强制性清洁生产审核。新建项目应达到国内清洁生产先进水平。</w:t>
      </w:r>
    </w:p>
    <w:p w14:paraId="4B024B4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八、总量控制</w:t>
      </w:r>
    </w:p>
    <w:p w14:paraId="5B2FEE1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农药行业建设项目必须符合国家及自治区总量管控要求，确保区域环境质量不降低。</w:t>
      </w:r>
    </w:p>
    <w:p w14:paraId="625339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属于宁夏回族自治区主要污染物排污权指标的总量控制因子，应按照自治区排污权相关规定进行核定和有偿交易取得并纳入排污许可管理。</w:t>
      </w:r>
    </w:p>
    <w:p w14:paraId="042D0F9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九、环境管理</w:t>
      </w:r>
    </w:p>
    <w:p w14:paraId="4472889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应建设完备的生态环境管理制度和有效的环境管理体系，环保设施应具有良好的管理制度、操作规程，环境管理台帐应完善。</w:t>
      </w:r>
    </w:p>
    <w:p w14:paraId="0EA181B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应按照《污染源自动监控管理办法》、《排污单位自行监测技术指南》及相关环境监测技术规范等，提出自行监测方案及在线监测要求，对排污状况和自动监测数据负责。</w:t>
      </w:r>
    </w:p>
    <w:p w14:paraId="426CE1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应按照《企业环境信息依法披露管理办法》相关规定向社会公开环境信息。</w:t>
      </w:r>
    </w:p>
    <w:p w14:paraId="76082C9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十、附则</w:t>
      </w:r>
    </w:p>
    <w:p w14:paraId="3F0A5AA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意见》由宁夏回族自治区生态环境厅会同自治区工业和信息化厅、发展和改革委员会、应急管理厅负责解释。涉及的国家、自治区和行业相关标准及政策如有修订，从其规定。与自治区其他地方标准、规范性文件不一致的，按照从严执行原则执行。</w:t>
      </w:r>
    </w:p>
    <w:p w14:paraId="47AB848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（二）本《意见》自2026年X月X日起实施，有效期为5年，原《宁夏回族自治区农药行业环境准入指导意见》同时废止。</w:t>
      </w:r>
    </w:p>
    <w:p w14:paraId="72B467CE">
      <w:pPr>
        <w:widowControl/>
        <w:jc w:val="left"/>
        <w:rPr>
          <w:rFonts w:hint="eastAsia" w:ascii="Times New Roman" w:hAnsi="Times New Roman" w:eastAsia="方正小标宋简体" w:cs="Times New Roman"/>
          <w:sz w:val="44"/>
          <w:szCs w:val="44"/>
          <w:lang w:eastAsia="zh"/>
        </w:rPr>
      </w:pPr>
      <w:r>
        <w:rPr>
          <w:rFonts w:hint="default" w:ascii="Times New Roman" w:hAnsi="Times New Roman" w:eastAsia="仿宋_GB2312" w:cs="Times New Roman"/>
          <w:sz w:val="32"/>
          <w:szCs w:val="32"/>
        </w:rPr>
        <w:br w:type="page"/>
      </w:r>
      <w:r>
        <w:rPr>
          <w:rFonts w:hint="eastAsia" w:ascii="黑体" w:hAnsi="黑体" w:eastAsia="黑体" w:cs="黑体"/>
          <w:sz w:val="32"/>
          <w:szCs w:val="32"/>
          <w:lang w:eastAsia="zh"/>
        </w:rPr>
        <w:t>附件3</w:t>
      </w:r>
    </w:p>
    <w:p w14:paraId="59953F0C">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宁夏回族自治区染料行业环境准入指导意见</w:t>
      </w:r>
    </w:p>
    <w:p w14:paraId="00321F5B">
      <w:pPr>
        <w:spacing w:line="560" w:lineRule="exact"/>
        <w:jc w:val="center"/>
        <w:rPr>
          <w:rFonts w:hint="eastAsia" w:ascii="楷体_GB2312" w:hAnsi="楷体_GB2312" w:eastAsia="楷体_GB2312" w:cs="楷体_GB2312"/>
          <w:color w:val="000000" w:themeColor="text1"/>
          <w:kern w:val="0"/>
          <w:szCs w:val="32"/>
          <w14:textFill>
            <w14:solidFill>
              <w14:schemeClr w14:val="tx1"/>
            </w14:solidFill>
          </w14:textFill>
        </w:rPr>
      </w:pPr>
      <w:r>
        <w:rPr>
          <w:rFonts w:hint="eastAsia" w:ascii="楷体_GB2312" w:hAnsi="楷体_GB2312" w:eastAsia="楷体_GB2312" w:cs="楷体_GB2312"/>
          <w:sz w:val="32"/>
          <w:szCs w:val="32"/>
        </w:rPr>
        <w:t>（征求意见稿）</w:t>
      </w:r>
    </w:p>
    <w:p w14:paraId="0AC4666B">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生态文明思想和党的二十届四中全会精神，认真落实党中央、国务院关于深入推进美丽中国建设的战略部署要求，加快推动宁夏回族自治区染料行业全面绿色转型，加强全产业链源头管控，依据国家和自治区有关法律法规、产业政策、生态环境保护要求，制定本《意见》。</w:t>
      </w:r>
    </w:p>
    <w:p w14:paraId="6347806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14:paraId="758E67A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规定了我区染料及中间体行业产业政策与空间准入、技术装备水平、污染防治措施、新污染物环境管控、绿色低碳发展、污染物排放总量控制、环境风险防范措施以及环境管理等方面的基本要求。涵盖了《国民经济行业分类》所列的C2645染料制造，包括染料制造、染料中间体制造、有机颜料制造和有机颜料中间体制造。适用于我区新建、改扩建、迁建染料和中间体行业的建设项目的环境影响评价、环境保护设施设计、竣工环境保护验收、排污许可证核发及其投产后的污染物排放管理，也适用于现有染料及中间体行业建设项目的整治和相关环境管理活动。</w:t>
      </w:r>
    </w:p>
    <w:p w14:paraId="5A8C25C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所指现有染料及中间体行业建设项目是指本《意见》实施之日前已建成投产或环境影响评价文件已通过审批的染料及中间体企业或生产设施。新建、改扩建、迁建染料及中间体行业建设项目是指本《意见》实施之日起环境影响评价文件通过审批的新建、改扩建和迁建染料及中间体行业建设项目。</w:t>
      </w:r>
    </w:p>
    <w:p w14:paraId="4700A36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二、产业政策与空间准入</w:t>
      </w:r>
    </w:p>
    <w:p w14:paraId="61FF2D4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（一）产业政策</w:t>
      </w:r>
    </w:p>
    <w:p w14:paraId="0890B8A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染料及中间体行业建设项目应符合相关法律法规和政策，符合国家及地方产业结构调整、落后产能、工艺及设备淘汰的相关要求。新建项目应采用先进生产工艺和设备，禁止新增《产业结构调整指导目录》中限制类、淘汰类的落后生产工艺、设备和产品，鼓励生产新型功能性、环境友好型的染料、颜料。</w:t>
      </w:r>
    </w:p>
    <w:p w14:paraId="157C282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（二）空间准入</w:t>
      </w:r>
    </w:p>
    <w:p w14:paraId="6B2EC0A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新建、改扩建、迁建染料及中间体行业建设项目选址必须符合国土空间规划和生态环境分区管控等要求。</w:t>
      </w:r>
    </w:p>
    <w:p w14:paraId="7900567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新建、改扩建、迁建染料及中间体行业建设项目必须进入产业园区并符合园区规划、规划环评及其审查意见的要求，鼓励园区外现有染料及中间体行业建设项目搬迁至化工园区、化工集中区。</w:t>
      </w:r>
    </w:p>
    <w:p w14:paraId="1C4157B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三、工艺与装备</w:t>
      </w:r>
    </w:p>
    <w:p w14:paraId="7736C46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鼓励引进国内外先进的设计理念、生产技术和管理制度。鼓励采用全密闭连续自动生产装置替代开放或半封闭式间歇生产装置。鼓励采用连续硝化、连续加氢、连续（定向）氯化、连续氧化、连续氟化、连续酯化、新型烷基化、连续胺化（氨化）、连续重氮化、水解、微通道、分步结晶、真空精密精馏等连续化工艺技术，提高原料利用率、有用物质回收率及产品收率，减少含盐废液的产生。</w:t>
      </w:r>
    </w:p>
    <w:p w14:paraId="5DD44C1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新（迁）建、扩建染料制造项目中涉及重点监管的危险化工工艺的装置应采用全流程自动化（或低风险替代）生产工艺。</w:t>
      </w:r>
    </w:p>
    <w:p w14:paraId="23E29EE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鼓励采用膜分离、超细粉体制备、染颜料分散、纳米化及颜料稳定性保护、膜过滤、原浆直接喷雾干燥、无盐析生产工艺等先进技术。</w:t>
      </w:r>
    </w:p>
    <w:p w14:paraId="038CED0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干燥工序应采用喷雾干燥、闪蒸干燥、桨叶式干燥或其他密闭式干燥设备。</w:t>
      </w:r>
    </w:p>
    <w:p w14:paraId="6B5D093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分散染料砂磨应使用密闭式砂磨机。</w:t>
      </w:r>
    </w:p>
    <w:p w14:paraId="6BC9EB6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鼓励采用高效催化、生物催化、反应精馏、超重力、密闭化技术，有毒有害及高VOCs含量原辅材料替代技术，采用无毒、低毒、低臭、低反应活性的原料替代高毒、恶臭或高反应活性的原料，源头减少VOCs产生和排放。对生产中使用剧毒化学品、具有“三致”毒理特性的物质、具有明显恶臭影响特征的物质和列为优先控制化学品名录的物质的项目，应采取措施严格控制相应污染物的产生。</w:t>
      </w:r>
    </w:p>
    <w:p w14:paraId="5320D6E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（三）新建生产车间原则上应采取垂直布置流程，宜提升工艺装备水平，采用连续化、自动化、密闭性高的生产工艺和设备，减少物料转运次数，通过合理布置实现全封闭生产。</w:t>
      </w:r>
    </w:p>
    <w:p w14:paraId="0DE5F0D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针对生产过程中废气污染源和废气组分性质的差异，进行分类、分质的收集并处理以实现达标排放。开展源头-过程-末端全流程挥发性有机物综合治理，切实加强无组织排放管控。通过优化生产设备选型、采用密闭式作业、建立密闭式负压废气收集系统等手段，减少无组织废气排放。</w:t>
      </w:r>
    </w:p>
    <w:p w14:paraId="0B7E49D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抽滤、压滤、离心母液应通过管道、储槽进行收集。分散染料酸母液须进行综合利用或套用手段削减污染物排放，鼓励对浓度较高的含硫酸母液采用除杂、提浓后回用至生产；杜绝仅依靠石灰或电石渣中和产生硫酸钙污渣的治理工艺处理分散染料酸母液；滤饼应密闭输送。</w:t>
      </w:r>
    </w:p>
    <w:p w14:paraId="3EC5812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四、污染防治措施</w:t>
      </w:r>
    </w:p>
    <w:p w14:paraId="514578E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（一）水污染防治措施</w:t>
      </w:r>
    </w:p>
    <w:p w14:paraId="7A335B10">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废水应分质收集，做到“清污分流、 雨污分流、污污分流”，初期雨水应收集并排至污水处理设施。各企业每处生产厂区只能设一个污水排放口，并按照有关规定安装在线监测监控设施。合理设置雨水排放口，配备雨水自动切换系统，宜实施雨水排放口智能化监控。</w:t>
      </w:r>
    </w:p>
    <w:p w14:paraId="2BECB249">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配套合适的生产废水预处理措施和设施，高氨氮、高盐分、高浓度强酸性难降解废水应配套单独的预处理措施，高盐分母液应配套脱盐设施或采取其他先进技术进行处理。含硫酸废水宜单独收集后采用碱（氨、氢氧化钠等）中和，高盐废水宜单独收集再经除杂提纯后经蒸汽机械再压缩技术（MVR）、三效蒸发等方式进行综合利用。</w:t>
      </w:r>
    </w:p>
    <w:p w14:paraId="68CD2ACB">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鼓励单位废水产生量按《绿色产品评价 染料》（GB/T44009）控制。</w:t>
      </w:r>
    </w:p>
    <w:p w14:paraId="3389503F">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项目排放的废水污染物应符合《污水综合排放标准》（GB 8978）等要求。</w:t>
      </w:r>
    </w:p>
    <w:p w14:paraId="60436C5E">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（二）大气污染防治措施</w:t>
      </w:r>
    </w:p>
    <w:p w14:paraId="33D716B6">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采用密闭一体化生产技术，并对生产过程中产生的废气进行分类收集和处理。酸/碱性废气可采用多级水吸收、碱/酸吸收，氮氧化物废气宜采用还原吸收工艺；有机废气应有效收集并根据其特性采取焚烧、吸收、吸附或其他先进适用的处理技术；粉尘类废气应采用布袋除尘或以布袋除尘为核心的组合工艺等有效处理技术处理。</w:t>
      </w:r>
    </w:p>
    <w:p w14:paraId="4838D888">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挥发性有机液体储罐、挥发性有机物（VOCs）物料生产设备、敞开液面、输送等无组织排放控制要求应符合《挥发性有机物无组织排放控制标准》（GB 37822）的规定。按照要求建立泄漏检测与修复（LDAR）体系，定期开展 LDAR 工作并及时修复泄漏点，减少无组织排放。</w:t>
      </w:r>
    </w:p>
    <w:p w14:paraId="6A666B5C">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项目排放的废气污染物应符合《大气污染物综合排放标准》（GB 16297）等要求。</w:t>
      </w:r>
    </w:p>
    <w:p w14:paraId="3DA3E310">
      <w:pPr>
        <w:adjustRightInd w:val="0"/>
        <w:snapToGrid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（三）土壤及地下水污染防治措施</w:t>
      </w:r>
    </w:p>
    <w:p w14:paraId="3DB33A9A">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按照“源头控制、分区防控、污染监控”的原则确定防治措施。</w:t>
      </w:r>
    </w:p>
    <w:p w14:paraId="51C861BD">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有毒有害物质的生产装置、储存场所、储罐和管道、污水处理池、应急池、固体废物贮存场所等，应当采取有效措施，防止有毒有害物质渗漏、流失、扬散，避免土壤和地下水受到污染。输送有毒有害物质和工艺废水的管线须采用地上明管或架空敷设的方式，设计、建设和安装有关防腐蚀、防泄漏设施和泄漏监测装置。</w:t>
      </w:r>
    </w:p>
    <w:p w14:paraId="556E34A9">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染料及中间体行业建设项目应建立土壤、地下水污染隐患排查整治制度，按照相关要求定期开展厂区及周边环境的土壤和地下水监测。</w:t>
      </w:r>
    </w:p>
    <w:p w14:paraId="06CF8C3B">
      <w:pPr>
        <w:adjustRightInd w:val="0"/>
        <w:snapToGrid w:val="0"/>
        <w:spacing w:line="580" w:lineRule="exact"/>
        <w:ind w:firstLine="640" w:firstLineChars="200"/>
        <w:rPr>
          <w:rFonts w:hint="default" w:ascii="Times New Roman" w:hAnsi="Times New Roman" w:eastAsia="仿宋_GB2312" w:cs="Times New Roman"/>
          <w:sz w:val="32"/>
          <w:szCs w:val="32"/>
        </w:rPr>
      </w:pPr>
      <w:bookmarkStart w:id="0" w:name="_Hlk64970116"/>
      <w:bookmarkStart w:id="1" w:name="_Hlk64970915"/>
      <w:r>
        <w:rPr>
          <w:rFonts w:hint="default" w:ascii="Times New Roman" w:hAnsi="Times New Roman" w:eastAsia="仿宋_GB2312" w:cs="Times New Roman"/>
          <w:sz w:val="32"/>
          <w:szCs w:val="32"/>
        </w:rPr>
        <w:t>（四）固体废物污染防治措施</w:t>
      </w:r>
    </w:p>
    <w:p w14:paraId="7DE002D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根据“减量化、资源化、无害化”的原则，对固体废物进行分类收集、规范处置。厂区内应设置危险废物贮存设施，危险废物应由有资质的单位进行综合利用或处置。鼓励开展高盐废水分类收集、提盐后分质预处理，降低废盐产生量和危害性后资源化利用。染料及中间体行业建设项目要落实固体废物综合利用主体责任，明确综合利用措施并按照国家和自治区相关要求落实综合利用率指标。</w:t>
      </w:r>
    </w:p>
    <w:p w14:paraId="07EEDAA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危险废物和一般工业固体废物贮存和处置应符合《危险废物贮存污染控制标准》（GB 18597）、《一般工业固体废物贮存和填埋污染控制标准》（GB 18599）等要求。</w:t>
      </w:r>
      <w:bookmarkEnd w:id="0"/>
      <w:bookmarkEnd w:id="1"/>
    </w:p>
    <w:p w14:paraId="363C98DD">
      <w:pPr>
        <w:adjustRightInd w:val="0"/>
        <w:snapToGrid w:val="0"/>
        <w:spacing w:line="580" w:lineRule="exact"/>
        <w:ind w:firstLine="640" w:firstLineChars="200"/>
        <w:rPr>
          <w:rFonts w:hint="default" w:ascii="Times New Roman" w:hAnsi="Times New Roman" w:eastAsia="仿宋_GB2312" w:cs="Times New Roman"/>
          <w:sz w:val="32"/>
          <w:szCs w:val="32"/>
        </w:rPr>
      </w:pPr>
      <w:bookmarkStart w:id="2" w:name="_Hlk56711854"/>
      <w:r>
        <w:rPr>
          <w:rFonts w:hint="default" w:ascii="Times New Roman" w:hAnsi="Times New Roman" w:eastAsia="仿宋_GB2312" w:cs="Times New Roman"/>
          <w:sz w:val="32"/>
          <w:szCs w:val="32"/>
        </w:rPr>
        <w:t>（五）噪声污染防治</w:t>
      </w:r>
    </w:p>
    <w:p w14:paraId="5203847A">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优化厂区平面布置，优先选用低噪声设备和工艺，采取减振、隔声、消声等措施有效控制噪声污染，厂界噪声满足《工业企业厂界环境噪声排放标准》（GB12348）要求。</w:t>
      </w:r>
    </w:p>
    <w:p w14:paraId="1ABFB93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五、环境风险防控措施</w:t>
      </w:r>
    </w:p>
    <w:p w14:paraId="56747C17">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在满足安全设计生产的基础上，提出合理有效的污染治理和环境风险防范措施，严控项目环境风险。必须设置事故池贮存事故废水（含消防废水），事故池有效容积须可容纳最大事故状态下所产生的废水量。事故池宜采取地下式并布置在厂区地势最低处，事故源切断应分别设置手、自动系统。事故废水须进行有效监控和处理，防止事故废水直接外排。</w:t>
      </w:r>
    </w:p>
    <w:p w14:paraId="5CD24D48">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须建立环境风险防控体系,制定有效的环境风险事故应急预案并及时更新，配备满足要求的环境风险防范措施和应急设施，定期开展演练，构建与当地政府和相关部门以及周边企业、园区相衔接的区域环境风险联防联控机制。</w:t>
      </w:r>
    </w:p>
    <w:bookmarkEnd w:id="2"/>
    <w:p w14:paraId="7D97500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六、新污染物管控</w:t>
      </w:r>
    </w:p>
    <w:p w14:paraId="040AB17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新污染物识别，严格落实新污染物防控要求，优化原料、工艺和治理措施，核算新污染物产排污情况，严格落实《重点管控新污染物清单》及《宁夏回族自治区重点管控新污染物补充清单》管控要求，采取禁止、限制、限排等环境风险管控措施。</w:t>
      </w:r>
    </w:p>
    <w:p w14:paraId="19B987E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七、绿色低碳发展</w:t>
      </w:r>
    </w:p>
    <w:p w14:paraId="0BC8231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（一）编制环境影响报告书的染料及中间体行业建设项目须将碳排放评价内容纳入建设项目环境影响评价。推进减污降碳协同增效，推动减碳技术创新示范应用。</w:t>
      </w:r>
    </w:p>
    <w:p w14:paraId="1272B91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（二）生产各原辅料、中间产物、产品和排放的污染物中涉及《优先控制化学品名录》中所列物质的，应按照有关法律法规的要求，开展强制性清洁生产审核。新建项目应达到国内清洁生产先进水平。</w:t>
      </w:r>
    </w:p>
    <w:p w14:paraId="1325938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八、总量控制</w:t>
      </w:r>
    </w:p>
    <w:p w14:paraId="1A1D40AD">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染料及中间体行业建设项目必须符合国家及自治区总量管控要求，确保区域环境质量不降低。</w:t>
      </w:r>
    </w:p>
    <w:p w14:paraId="38A7F703">
      <w:pPr>
        <w:widowControl/>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属于宁夏回族自治区主要污染物排污权指标的总量控制因子，应按照自治区排污权相关规定进行核定和有偿交易取得并纳入排污许可管理。</w:t>
      </w:r>
    </w:p>
    <w:p w14:paraId="34C4496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九、环境管理</w:t>
      </w:r>
    </w:p>
    <w:p w14:paraId="7859DC09">
      <w:pPr>
        <w:adjustRightInd w:val="0"/>
        <w:snapToGrid w:val="0"/>
        <w:spacing w:line="580" w:lineRule="exact"/>
        <w:ind w:firstLine="640" w:firstLineChars="200"/>
        <w:rPr>
          <w:rFonts w:hint="default" w:ascii="Times New Roman" w:hAnsi="Times New Roman" w:eastAsia="仿宋_GB2312" w:cs="Times New Roman"/>
          <w:sz w:val="32"/>
          <w:szCs w:val="32"/>
        </w:rPr>
      </w:pPr>
      <w:bookmarkStart w:id="3" w:name="_Hlk197438988"/>
      <w:r>
        <w:rPr>
          <w:rFonts w:hint="default" w:ascii="Times New Roman" w:hAnsi="Times New Roman" w:eastAsia="仿宋_GB2312" w:cs="Times New Roman"/>
          <w:sz w:val="32"/>
          <w:szCs w:val="32"/>
        </w:rPr>
        <w:t>应建设完备的生态环境管理制度和有效的环境管理体系，环保设施应具有良好的管理制度、操作规程，环境管理台帐应完善。</w:t>
      </w:r>
    </w:p>
    <w:p w14:paraId="2BE58441">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应按照《污染源自动监控管理办法》、《排污单位自行监测技术指南》及相关环境监测技术规范等，提出自行监测方案及在线监测要求，对排污状况和自动监测数据负责。</w:t>
      </w:r>
    </w:p>
    <w:p w14:paraId="33718AD2">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应按照《企业环境信息依法披露管理办法》相关规定向社会公开环境信息。</w:t>
      </w:r>
      <w:bookmarkEnd w:id="3"/>
    </w:p>
    <w:p w14:paraId="5C2E6D5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十、附则</w:t>
      </w:r>
    </w:p>
    <w:p w14:paraId="6E548A2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意见》由宁夏回族自治区生态环境厅会同自治区工业和信息化厅、发展和改革委员会、应急管理厅负责解释。涉及的国家、自治区和行业相关标准及政策如有修订，从其规定。地方相关标准、规范性文件不一致时，应从严执行。</w:t>
      </w:r>
    </w:p>
    <w:p w14:paraId="243CF27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（二）本《意见》自2026年X月X日起实施，有效期为5年，原《宁夏回族自治区染料行业环境准入指导意见》同时废止。</w:t>
      </w:r>
    </w:p>
    <w:sectPr>
      <w:footerReference r:id="rId3" w:type="default"/>
      <w:pgSz w:w="11906" w:h="16838"/>
      <w:pgMar w:top="198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58927DD">
        <w:pPr>
          <w:pStyle w:val="4"/>
          <w:jc w:val="center"/>
        </w:pPr>
        <w:r>
          <w:fldChar w:fldCharType="begin"/>
        </w:r>
        <w:r>
          <w:instrText xml:space="preserve">PAGE   \* MERGEFORMAT</w:instrText>
        </w:r>
        <w:r>
          <w:fldChar w:fldCharType="separate"/>
        </w:r>
        <w:r>
          <w:rPr>
            <w:lang w:val="zh-CN"/>
          </w:rPr>
          <w:t>2</w:t>
        </w:r>
        <w:r>
          <w:fldChar w:fldCharType="end"/>
        </w:r>
      </w:p>
    </w:sdtContent>
  </w:sdt>
  <w:p w14:paraId="4F0200B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08"/>
    <w:rsid w:val="00013605"/>
    <w:rsid w:val="000164DD"/>
    <w:rsid w:val="000516EC"/>
    <w:rsid w:val="000703E8"/>
    <w:rsid w:val="00080971"/>
    <w:rsid w:val="00081034"/>
    <w:rsid w:val="000933AA"/>
    <w:rsid w:val="000962DA"/>
    <w:rsid w:val="000A65B0"/>
    <w:rsid w:val="000B0364"/>
    <w:rsid w:val="000B76D9"/>
    <w:rsid w:val="000D50B2"/>
    <w:rsid w:val="000E7701"/>
    <w:rsid w:val="000F6786"/>
    <w:rsid w:val="000F69EB"/>
    <w:rsid w:val="0010708C"/>
    <w:rsid w:val="00120FE5"/>
    <w:rsid w:val="0014235D"/>
    <w:rsid w:val="00150D1A"/>
    <w:rsid w:val="00160FC3"/>
    <w:rsid w:val="001756FC"/>
    <w:rsid w:val="00196E09"/>
    <w:rsid w:val="001B482A"/>
    <w:rsid w:val="001B62B0"/>
    <w:rsid w:val="001C0ED4"/>
    <w:rsid w:val="001C3C36"/>
    <w:rsid w:val="001C5778"/>
    <w:rsid w:val="00200146"/>
    <w:rsid w:val="002008DF"/>
    <w:rsid w:val="00200EBD"/>
    <w:rsid w:val="00207189"/>
    <w:rsid w:val="00221F67"/>
    <w:rsid w:val="00235430"/>
    <w:rsid w:val="00240A3F"/>
    <w:rsid w:val="00247742"/>
    <w:rsid w:val="0025415C"/>
    <w:rsid w:val="00255652"/>
    <w:rsid w:val="00270330"/>
    <w:rsid w:val="00282955"/>
    <w:rsid w:val="002845C2"/>
    <w:rsid w:val="00286135"/>
    <w:rsid w:val="002B0B43"/>
    <w:rsid w:val="002B3641"/>
    <w:rsid w:val="002B5982"/>
    <w:rsid w:val="002C1D95"/>
    <w:rsid w:val="002C5AA7"/>
    <w:rsid w:val="002D09AE"/>
    <w:rsid w:val="002D4EDF"/>
    <w:rsid w:val="002E54BB"/>
    <w:rsid w:val="002F1EF7"/>
    <w:rsid w:val="002F4F20"/>
    <w:rsid w:val="00300C51"/>
    <w:rsid w:val="0030435D"/>
    <w:rsid w:val="003303F1"/>
    <w:rsid w:val="00337BE1"/>
    <w:rsid w:val="00352582"/>
    <w:rsid w:val="00387EF8"/>
    <w:rsid w:val="00392A8D"/>
    <w:rsid w:val="003965F3"/>
    <w:rsid w:val="003A1371"/>
    <w:rsid w:val="003B1435"/>
    <w:rsid w:val="003E7153"/>
    <w:rsid w:val="003F2717"/>
    <w:rsid w:val="0040751A"/>
    <w:rsid w:val="0041291A"/>
    <w:rsid w:val="004245CD"/>
    <w:rsid w:val="004262D8"/>
    <w:rsid w:val="00434DFD"/>
    <w:rsid w:val="004422CB"/>
    <w:rsid w:val="004426AF"/>
    <w:rsid w:val="00442DDF"/>
    <w:rsid w:val="004450BA"/>
    <w:rsid w:val="004916C3"/>
    <w:rsid w:val="004A537A"/>
    <w:rsid w:val="004C5B49"/>
    <w:rsid w:val="004F2A8D"/>
    <w:rsid w:val="004F7CB1"/>
    <w:rsid w:val="00506D65"/>
    <w:rsid w:val="00530038"/>
    <w:rsid w:val="00534332"/>
    <w:rsid w:val="00540EA9"/>
    <w:rsid w:val="00550E35"/>
    <w:rsid w:val="00553924"/>
    <w:rsid w:val="0055732E"/>
    <w:rsid w:val="005B1CCD"/>
    <w:rsid w:val="005B2846"/>
    <w:rsid w:val="005C42A0"/>
    <w:rsid w:val="005C47FE"/>
    <w:rsid w:val="005D147A"/>
    <w:rsid w:val="005E424E"/>
    <w:rsid w:val="005F3BA4"/>
    <w:rsid w:val="00606C98"/>
    <w:rsid w:val="00614B83"/>
    <w:rsid w:val="00622D3C"/>
    <w:rsid w:val="00634584"/>
    <w:rsid w:val="0064688E"/>
    <w:rsid w:val="006651C6"/>
    <w:rsid w:val="00681008"/>
    <w:rsid w:val="00693832"/>
    <w:rsid w:val="006A34A4"/>
    <w:rsid w:val="006B55B7"/>
    <w:rsid w:val="006E272A"/>
    <w:rsid w:val="006E3C93"/>
    <w:rsid w:val="006E45D9"/>
    <w:rsid w:val="00702A84"/>
    <w:rsid w:val="0070316E"/>
    <w:rsid w:val="0070681F"/>
    <w:rsid w:val="007110D0"/>
    <w:rsid w:val="00714216"/>
    <w:rsid w:val="00726A6B"/>
    <w:rsid w:val="0073022D"/>
    <w:rsid w:val="00752B9C"/>
    <w:rsid w:val="00762780"/>
    <w:rsid w:val="0079008F"/>
    <w:rsid w:val="00792771"/>
    <w:rsid w:val="007D4823"/>
    <w:rsid w:val="007D6CBA"/>
    <w:rsid w:val="007F01B2"/>
    <w:rsid w:val="00806F8D"/>
    <w:rsid w:val="0081031B"/>
    <w:rsid w:val="0082424B"/>
    <w:rsid w:val="008319B8"/>
    <w:rsid w:val="0083437F"/>
    <w:rsid w:val="00852CD7"/>
    <w:rsid w:val="00852D8A"/>
    <w:rsid w:val="00870123"/>
    <w:rsid w:val="00872E8D"/>
    <w:rsid w:val="0089076B"/>
    <w:rsid w:val="008A63F0"/>
    <w:rsid w:val="008B134D"/>
    <w:rsid w:val="008C537C"/>
    <w:rsid w:val="008E51EE"/>
    <w:rsid w:val="00911E01"/>
    <w:rsid w:val="0093076B"/>
    <w:rsid w:val="0093512A"/>
    <w:rsid w:val="00941C1B"/>
    <w:rsid w:val="00942EEC"/>
    <w:rsid w:val="0094347C"/>
    <w:rsid w:val="00950674"/>
    <w:rsid w:val="00956CED"/>
    <w:rsid w:val="00962E35"/>
    <w:rsid w:val="009630BE"/>
    <w:rsid w:val="00976157"/>
    <w:rsid w:val="009770C5"/>
    <w:rsid w:val="00985216"/>
    <w:rsid w:val="009A5DC4"/>
    <w:rsid w:val="009B62B2"/>
    <w:rsid w:val="009B70B0"/>
    <w:rsid w:val="009B7F06"/>
    <w:rsid w:val="009C3264"/>
    <w:rsid w:val="009D1CBB"/>
    <w:rsid w:val="009E3436"/>
    <w:rsid w:val="009F5B18"/>
    <w:rsid w:val="00A052A0"/>
    <w:rsid w:val="00A059E8"/>
    <w:rsid w:val="00A16201"/>
    <w:rsid w:val="00A23808"/>
    <w:rsid w:val="00A542FD"/>
    <w:rsid w:val="00A5633D"/>
    <w:rsid w:val="00A623DA"/>
    <w:rsid w:val="00A635C0"/>
    <w:rsid w:val="00A73E3A"/>
    <w:rsid w:val="00A863E5"/>
    <w:rsid w:val="00A90446"/>
    <w:rsid w:val="00A94357"/>
    <w:rsid w:val="00AA277C"/>
    <w:rsid w:val="00AA7612"/>
    <w:rsid w:val="00AA7F86"/>
    <w:rsid w:val="00AC5A28"/>
    <w:rsid w:val="00AF0E6F"/>
    <w:rsid w:val="00AF58CE"/>
    <w:rsid w:val="00B03D2D"/>
    <w:rsid w:val="00B2551F"/>
    <w:rsid w:val="00B4061A"/>
    <w:rsid w:val="00B42C78"/>
    <w:rsid w:val="00B5553A"/>
    <w:rsid w:val="00B565E7"/>
    <w:rsid w:val="00B7173F"/>
    <w:rsid w:val="00B7605D"/>
    <w:rsid w:val="00B773BD"/>
    <w:rsid w:val="00B774CE"/>
    <w:rsid w:val="00B83FCD"/>
    <w:rsid w:val="00B87925"/>
    <w:rsid w:val="00B91875"/>
    <w:rsid w:val="00B91BD2"/>
    <w:rsid w:val="00BB21E9"/>
    <w:rsid w:val="00BF1A05"/>
    <w:rsid w:val="00C00D59"/>
    <w:rsid w:val="00C04371"/>
    <w:rsid w:val="00C05933"/>
    <w:rsid w:val="00C205C0"/>
    <w:rsid w:val="00C27567"/>
    <w:rsid w:val="00C3338B"/>
    <w:rsid w:val="00C5020B"/>
    <w:rsid w:val="00C673AD"/>
    <w:rsid w:val="00C7457D"/>
    <w:rsid w:val="00C75758"/>
    <w:rsid w:val="00C777DF"/>
    <w:rsid w:val="00C77801"/>
    <w:rsid w:val="00C873C1"/>
    <w:rsid w:val="00C92E84"/>
    <w:rsid w:val="00CA1955"/>
    <w:rsid w:val="00CE1AC4"/>
    <w:rsid w:val="00CF3DEC"/>
    <w:rsid w:val="00D157FE"/>
    <w:rsid w:val="00D23617"/>
    <w:rsid w:val="00D275AD"/>
    <w:rsid w:val="00D870A4"/>
    <w:rsid w:val="00D90D8D"/>
    <w:rsid w:val="00DB591F"/>
    <w:rsid w:val="00DB5DB8"/>
    <w:rsid w:val="00DC6500"/>
    <w:rsid w:val="00DE4449"/>
    <w:rsid w:val="00E04156"/>
    <w:rsid w:val="00E04713"/>
    <w:rsid w:val="00E242D7"/>
    <w:rsid w:val="00E2600C"/>
    <w:rsid w:val="00E36A08"/>
    <w:rsid w:val="00E45C28"/>
    <w:rsid w:val="00E66764"/>
    <w:rsid w:val="00E706A3"/>
    <w:rsid w:val="00E85070"/>
    <w:rsid w:val="00E8561A"/>
    <w:rsid w:val="00E85852"/>
    <w:rsid w:val="00E90EA7"/>
    <w:rsid w:val="00E9373E"/>
    <w:rsid w:val="00E97928"/>
    <w:rsid w:val="00EE2E13"/>
    <w:rsid w:val="00EE79F6"/>
    <w:rsid w:val="00F03094"/>
    <w:rsid w:val="00F409A8"/>
    <w:rsid w:val="00F422FD"/>
    <w:rsid w:val="00F51578"/>
    <w:rsid w:val="00F62608"/>
    <w:rsid w:val="00F64EC4"/>
    <w:rsid w:val="00F76353"/>
    <w:rsid w:val="00F90CC8"/>
    <w:rsid w:val="00FB46A4"/>
    <w:rsid w:val="00FC5C98"/>
    <w:rsid w:val="00FF517A"/>
    <w:rsid w:val="00FF6C2A"/>
    <w:rsid w:val="33BE54A0"/>
    <w:rsid w:val="3A237F1A"/>
    <w:rsid w:val="700568BA"/>
    <w:rsid w:val="ED171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2"/>
    <w:semiHidden/>
    <w:qFormat/>
    <w:uiPriority w:val="99"/>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29</Pages>
  <Words>4650</Words>
  <Characters>4793</Characters>
  <Lines>102</Lines>
  <Paragraphs>28</Paragraphs>
  <TotalTime>10</TotalTime>
  <ScaleCrop>false</ScaleCrop>
  <LinksUpToDate>false</LinksUpToDate>
  <CharactersWithSpaces>4830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2026-05-01T00:23:00Z</dcterms:created>
  <dc:creator>师树虎</dc:creator>
  <cp:lastModifiedBy>MaLeon</cp:lastModifiedBy>
  <cp:lastPrinted>2025-02-06T18:33:00Z</cp:lastPrinted>
  <dcterms:modified xsi:type="dcterms:W3CDTF">2026-05-06T09:38:11Z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417CF844693C3005A8E2FA69C177C277_43</vt:lpwstr>
  </property>
  <property fmtid="{D5CDD505-2E9C-101B-9397-08002B2CF9AE}" pid="4" name="KSOTemplateDocerSaveRecord">
    <vt:lpwstr>eyJoZGlkIjoiYzM0N2JhMGU2NjdkMjBjMzRjZTJjOTU3ZDEzMGQ4ZTMiLCJ1c2VySWQiOiI2NTEwMzIzMjkifQ==</vt:lpwstr>
  </property>
</Properties>
</file>