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250" w:rsidRPr="008B4250" w:rsidRDefault="008B4250" w:rsidP="008B4250">
      <w:pPr>
        <w:spacing w:after="0" w:line="240" w:lineRule="auto"/>
        <w:jc w:val="both"/>
        <w:rPr>
          <w:rFonts w:ascii="仿宋_GB2312" w:eastAsia="仿宋_GB2312" w:hAnsi="等线" w:cs="Times New Roman" w:hint="eastAsia"/>
          <w:b/>
          <w:sz w:val="32"/>
          <w:szCs w:val="32"/>
          <w14:ligatures w14:val="none"/>
        </w:rPr>
      </w:pPr>
      <w:r w:rsidRPr="008B4250">
        <w:rPr>
          <w:rFonts w:ascii="仿宋_GB2312" w:eastAsia="仿宋_GB2312" w:hAnsi="等线" w:cs="Times New Roman" w:hint="eastAsia"/>
          <w:b/>
          <w:sz w:val="32"/>
          <w:szCs w:val="32"/>
          <w14:ligatures w14:val="none"/>
        </w:rPr>
        <w:t>附件</w:t>
      </w:r>
      <w:bookmarkStart w:id="0" w:name="_GoBack"/>
      <w:bookmarkEnd w:id="0"/>
      <w:r w:rsidR="001F6253">
        <w:rPr>
          <w:rFonts w:ascii="仿宋_GB2312" w:eastAsia="仿宋_GB2312" w:hAnsi="等线" w:cs="Times New Roman"/>
          <w:b/>
          <w:sz w:val="32"/>
          <w:szCs w:val="32"/>
          <w14:ligatures w14:val="none"/>
        </w:rPr>
        <w:t>1</w:t>
      </w:r>
      <w:r w:rsidRPr="008B4250">
        <w:rPr>
          <w:rFonts w:ascii="仿宋_GB2312" w:eastAsia="仿宋_GB2312" w:hAnsi="等线" w:cs="Times New Roman"/>
          <w:b/>
          <w:sz w:val="32"/>
          <w:szCs w:val="32"/>
          <w14:ligatures w14:val="none"/>
        </w:rPr>
        <w:t>：</w:t>
      </w:r>
    </w:p>
    <w:p w:rsidR="000D152C" w:rsidRPr="008B4250" w:rsidRDefault="00831701" w:rsidP="008B4250">
      <w:pPr>
        <w:spacing w:after="0" w:line="560" w:lineRule="exact"/>
        <w:jc w:val="center"/>
        <w:rPr>
          <w:rFonts w:ascii="Times New Roman" w:eastAsia="方正小标宋简体" w:hAnsi="Times New Roman" w:cs="Times New Roman"/>
          <w:sz w:val="44"/>
          <w:szCs w:val="44"/>
          <w14:ligatures w14:val="none"/>
        </w:rPr>
      </w:pPr>
      <w:r w:rsidRPr="008B4250">
        <w:rPr>
          <w:rFonts w:ascii="Times New Roman" w:eastAsia="方正小标宋简体" w:hAnsi="Times New Roman" w:cs="Times New Roman" w:hint="eastAsia"/>
          <w:sz w:val="44"/>
          <w:szCs w:val="44"/>
          <w14:ligatures w14:val="none"/>
        </w:rPr>
        <w:t>宁夏回族自治区制药行业</w:t>
      </w:r>
    </w:p>
    <w:p w:rsidR="000D152C" w:rsidRPr="008B4250" w:rsidRDefault="00831701" w:rsidP="008B4250">
      <w:pPr>
        <w:spacing w:after="0" w:line="560" w:lineRule="exact"/>
        <w:jc w:val="center"/>
        <w:rPr>
          <w:rFonts w:ascii="Times New Roman" w:eastAsia="方正小标宋简体" w:hAnsi="Times New Roman" w:cs="Times New Roman"/>
          <w:sz w:val="44"/>
          <w:szCs w:val="44"/>
          <w14:ligatures w14:val="none"/>
        </w:rPr>
      </w:pPr>
      <w:r w:rsidRPr="008B4250">
        <w:rPr>
          <w:rFonts w:ascii="Times New Roman" w:eastAsia="方正小标宋简体" w:hAnsi="Times New Roman" w:cs="Times New Roman" w:hint="eastAsia"/>
          <w:sz w:val="44"/>
          <w:szCs w:val="44"/>
          <w14:ligatures w14:val="none"/>
        </w:rPr>
        <w:t>环境准入指导意见</w:t>
      </w:r>
    </w:p>
    <w:p w:rsidR="008B4250" w:rsidRPr="008B4250" w:rsidRDefault="008B4250" w:rsidP="008B4250">
      <w:pPr>
        <w:adjustRightInd w:val="0"/>
        <w:snapToGrid w:val="0"/>
        <w:spacing w:after="0" w:line="580" w:lineRule="exact"/>
        <w:ind w:firstLineChars="200" w:firstLine="640"/>
        <w:jc w:val="center"/>
        <w:rPr>
          <w:rFonts w:ascii="Times New Roman" w:eastAsia="仿宋_GB2312" w:hAnsi="Times New Roman"/>
          <w:sz w:val="32"/>
          <w:szCs w:val="32"/>
        </w:rPr>
      </w:pPr>
      <w:r w:rsidRPr="008B4250">
        <w:rPr>
          <w:rFonts w:ascii="Times New Roman" w:eastAsia="仿宋_GB2312" w:hAnsi="Times New Roman" w:hint="eastAsia"/>
          <w:sz w:val="32"/>
          <w:szCs w:val="32"/>
        </w:rPr>
        <w:t>（征求</w:t>
      </w:r>
      <w:r w:rsidRPr="008B4250">
        <w:rPr>
          <w:rFonts w:ascii="Times New Roman" w:eastAsia="仿宋_GB2312" w:hAnsi="Times New Roman"/>
          <w:sz w:val="32"/>
          <w:szCs w:val="32"/>
        </w:rPr>
        <w:t>意见稿</w:t>
      </w:r>
      <w:r w:rsidRPr="008B4250">
        <w:rPr>
          <w:rFonts w:ascii="Times New Roman" w:eastAsia="仿宋_GB2312" w:hAnsi="Times New Roman" w:hint="eastAsia"/>
          <w:sz w:val="32"/>
          <w:szCs w:val="32"/>
        </w:rPr>
        <w:t>）</w:t>
      </w:r>
    </w:p>
    <w:p w:rsidR="000D152C" w:rsidRDefault="00831701">
      <w:pPr>
        <w:adjustRightInd w:val="0"/>
        <w:snapToGrid w:val="0"/>
        <w:spacing w:after="0" w:line="58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为了深入贯彻习近平生态文明思想和党的二十届四中全会精神，认真落实党中央、国务院关于深入美丽中国建设的战略部署要求，加快推动宁夏回族自治区制药行业全面绿色转型，加强全产业链源头管控，依据国家和自治区有关法律法规、产业政策、生态环境保护要求，制定本</w:t>
      </w:r>
      <w:r>
        <w:rPr>
          <w:rFonts w:ascii="Times New Roman" w:eastAsia="仿宋_GB2312" w:hAnsi="Times New Roman"/>
          <w:sz w:val="32"/>
          <w:szCs w:val="32"/>
        </w:rPr>
        <w:t>《意见》</w:t>
      </w:r>
      <w:r>
        <w:rPr>
          <w:rFonts w:ascii="Times New Roman" w:eastAsia="仿宋_GB2312" w:hAnsi="Times New Roman" w:hint="eastAsia"/>
          <w:sz w:val="32"/>
          <w:szCs w:val="32"/>
        </w:rPr>
        <w:t>。</w:t>
      </w:r>
    </w:p>
    <w:p w:rsidR="000D152C" w:rsidRDefault="00831701">
      <w:pPr>
        <w:pStyle w:val="2"/>
        <w:spacing w:before="0" w:after="0" w:line="580" w:lineRule="exact"/>
        <w:ind w:firstLineChars="200" w:firstLine="640"/>
        <w:jc w:val="both"/>
        <w:rPr>
          <w:rFonts w:ascii="黑体" w:eastAsia="黑体" w:hAnsi="黑体" w:cs="Times New Roman"/>
          <w:bCs/>
          <w:color w:val="000000" w:themeColor="text1"/>
          <w:sz w:val="32"/>
          <w:szCs w:val="32"/>
          <w14:ligatures w14:val="none"/>
        </w:rPr>
      </w:pPr>
      <w:r>
        <w:rPr>
          <w:rFonts w:ascii="黑体" w:eastAsia="黑体" w:hAnsi="黑体" w:cs="Times New Roman" w:hint="eastAsia"/>
          <w:bCs/>
          <w:color w:val="000000" w:themeColor="text1"/>
          <w:sz w:val="32"/>
          <w:szCs w:val="32"/>
          <w14:ligatures w14:val="none"/>
        </w:rPr>
        <w:t>一、</w:t>
      </w:r>
      <w:r>
        <w:rPr>
          <w:rFonts w:ascii="黑体" w:eastAsia="黑体" w:hAnsi="黑体" w:cs="Times New Roman"/>
          <w:bCs/>
          <w:color w:val="000000" w:themeColor="text1"/>
          <w:sz w:val="32"/>
          <w:szCs w:val="32"/>
          <w14:ligatures w14:val="none"/>
        </w:rPr>
        <w:t>适用范围</w:t>
      </w:r>
    </w:p>
    <w:p w:rsidR="000D152C" w:rsidRDefault="00831701">
      <w:pPr>
        <w:adjustRightInd w:val="0"/>
        <w:snapToGrid w:val="0"/>
        <w:spacing w:after="0" w:line="58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本《意见》规定了我区</w:t>
      </w:r>
      <w:r>
        <w:rPr>
          <w:rFonts w:ascii="Times New Roman" w:eastAsia="仿宋_GB2312" w:hAnsi="Times New Roman" w:hint="eastAsia"/>
          <w:sz w:val="32"/>
          <w:szCs w:val="32"/>
        </w:rPr>
        <w:t>制药</w:t>
      </w:r>
      <w:r>
        <w:rPr>
          <w:rFonts w:ascii="Times New Roman" w:eastAsia="仿宋_GB2312" w:hAnsi="Times New Roman"/>
          <w:sz w:val="32"/>
          <w:szCs w:val="32"/>
        </w:rPr>
        <w:t>行业产业</w:t>
      </w:r>
      <w:r>
        <w:rPr>
          <w:rFonts w:ascii="Times New Roman" w:eastAsia="仿宋_GB2312" w:hAnsi="Times New Roman" w:hint="eastAsia"/>
          <w:sz w:val="32"/>
          <w:szCs w:val="32"/>
        </w:rPr>
        <w:t>政策</w:t>
      </w:r>
      <w:r>
        <w:rPr>
          <w:rFonts w:ascii="Times New Roman" w:eastAsia="仿宋_GB2312" w:hAnsi="Times New Roman"/>
          <w:sz w:val="32"/>
          <w:szCs w:val="32"/>
        </w:rPr>
        <w:t>与空间准入、技术装备水平、污染防治措施、新污染物环境管控</w:t>
      </w:r>
      <w:r>
        <w:rPr>
          <w:rFonts w:ascii="Times New Roman" w:eastAsia="仿宋_GB2312" w:hAnsi="Times New Roman" w:hint="eastAsia"/>
          <w:sz w:val="32"/>
          <w:szCs w:val="32"/>
        </w:rPr>
        <w:t>、绿色低碳发展、</w:t>
      </w:r>
      <w:r>
        <w:rPr>
          <w:rFonts w:ascii="Times New Roman" w:eastAsia="仿宋_GB2312" w:hAnsi="Times New Roman"/>
          <w:sz w:val="32"/>
          <w:szCs w:val="32"/>
        </w:rPr>
        <w:t>污染物排放总量控制</w:t>
      </w:r>
      <w:r>
        <w:rPr>
          <w:rFonts w:ascii="Times New Roman" w:eastAsia="仿宋_GB2312" w:hAnsi="Times New Roman" w:hint="eastAsia"/>
          <w:sz w:val="32"/>
          <w:szCs w:val="32"/>
        </w:rPr>
        <w:t>、</w:t>
      </w:r>
      <w:r>
        <w:rPr>
          <w:rFonts w:ascii="Times New Roman" w:eastAsia="仿宋_GB2312" w:hAnsi="Times New Roman"/>
          <w:sz w:val="32"/>
          <w:szCs w:val="32"/>
        </w:rPr>
        <w:t>环境风险</w:t>
      </w:r>
      <w:r>
        <w:rPr>
          <w:rFonts w:ascii="Times New Roman" w:eastAsia="仿宋_GB2312" w:hAnsi="Times New Roman" w:hint="eastAsia"/>
          <w:sz w:val="32"/>
          <w:szCs w:val="32"/>
        </w:rPr>
        <w:t>防范措施以及环境</w:t>
      </w:r>
      <w:r>
        <w:rPr>
          <w:rFonts w:ascii="Times New Roman" w:eastAsia="仿宋_GB2312" w:hAnsi="Times New Roman"/>
          <w:sz w:val="32"/>
          <w:szCs w:val="32"/>
        </w:rPr>
        <w:t>管理等方面的基本要求。涵盖了《国民经济行业分类》所列的</w:t>
      </w:r>
      <w:r>
        <w:rPr>
          <w:rFonts w:ascii="Times New Roman" w:eastAsia="仿宋_GB2312" w:hAnsi="Times New Roman"/>
          <w:sz w:val="32"/>
          <w:szCs w:val="32"/>
        </w:rPr>
        <w:t>C271</w:t>
      </w:r>
      <w:r>
        <w:rPr>
          <w:rFonts w:ascii="Times New Roman" w:eastAsia="仿宋_GB2312" w:hAnsi="Times New Roman"/>
          <w:sz w:val="32"/>
          <w:szCs w:val="32"/>
        </w:rPr>
        <w:t>化学药品原料药制造</w:t>
      </w:r>
      <w:r>
        <w:rPr>
          <w:rFonts w:ascii="Times New Roman" w:eastAsia="仿宋_GB2312" w:hAnsi="Times New Roman" w:hint="eastAsia"/>
          <w:sz w:val="32"/>
          <w:szCs w:val="32"/>
        </w:rPr>
        <w:t>、</w:t>
      </w:r>
      <w:r>
        <w:rPr>
          <w:rFonts w:ascii="Times New Roman" w:eastAsia="仿宋_GB2312" w:hAnsi="Times New Roman"/>
          <w:sz w:val="32"/>
          <w:szCs w:val="32"/>
        </w:rPr>
        <w:t>C272</w:t>
      </w:r>
      <w:r>
        <w:rPr>
          <w:rFonts w:ascii="Times New Roman" w:eastAsia="仿宋_GB2312" w:hAnsi="Times New Roman"/>
          <w:sz w:val="32"/>
          <w:szCs w:val="32"/>
        </w:rPr>
        <w:t>化学药品制剂制造</w:t>
      </w:r>
      <w:r>
        <w:rPr>
          <w:rFonts w:ascii="Times New Roman" w:eastAsia="仿宋_GB2312" w:hAnsi="Times New Roman" w:hint="eastAsia"/>
          <w:sz w:val="32"/>
          <w:szCs w:val="32"/>
        </w:rPr>
        <w:t>、</w:t>
      </w:r>
      <w:r>
        <w:rPr>
          <w:rFonts w:ascii="Times New Roman" w:eastAsia="仿宋_GB2312" w:hAnsi="Times New Roman"/>
          <w:sz w:val="32"/>
          <w:szCs w:val="32"/>
        </w:rPr>
        <w:t>C276</w:t>
      </w:r>
      <w:r>
        <w:rPr>
          <w:rFonts w:ascii="Times New Roman" w:eastAsia="仿宋_GB2312" w:hAnsi="Times New Roman"/>
          <w:sz w:val="32"/>
          <w:szCs w:val="32"/>
        </w:rPr>
        <w:t>生物药品制造。适用于</w:t>
      </w:r>
      <w:r>
        <w:rPr>
          <w:rFonts w:ascii="Times New Roman" w:eastAsia="仿宋_GB2312" w:hAnsi="Times New Roman" w:hint="eastAsia"/>
          <w:sz w:val="32"/>
          <w:szCs w:val="32"/>
        </w:rPr>
        <w:t>我区</w:t>
      </w:r>
      <w:r>
        <w:rPr>
          <w:rFonts w:ascii="Times New Roman" w:eastAsia="仿宋_GB2312" w:hAnsi="Times New Roman"/>
          <w:sz w:val="32"/>
          <w:szCs w:val="32"/>
        </w:rPr>
        <w:t>新建、改扩建、迁建</w:t>
      </w:r>
      <w:r>
        <w:rPr>
          <w:rFonts w:ascii="Times New Roman" w:eastAsia="仿宋_GB2312" w:hAnsi="Times New Roman" w:hint="eastAsia"/>
          <w:sz w:val="32"/>
          <w:szCs w:val="32"/>
        </w:rPr>
        <w:t>制药</w:t>
      </w:r>
      <w:r>
        <w:rPr>
          <w:rFonts w:ascii="Times New Roman" w:eastAsia="仿宋_GB2312" w:hAnsi="Times New Roman"/>
          <w:sz w:val="32"/>
          <w:szCs w:val="32"/>
        </w:rPr>
        <w:t>行业建设项目</w:t>
      </w:r>
      <w:r>
        <w:rPr>
          <w:rFonts w:ascii="Times New Roman" w:eastAsia="仿宋_GB2312" w:hAnsi="Times New Roman" w:hint="eastAsia"/>
          <w:sz w:val="32"/>
          <w:szCs w:val="32"/>
        </w:rPr>
        <w:t>的</w:t>
      </w:r>
      <w:r>
        <w:rPr>
          <w:rFonts w:ascii="Times New Roman" w:eastAsia="仿宋_GB2312" w:hAnsi="Times New Roman"/>
          <w:sz w:val="32"/>
          <w:szCs w:val="32"/>
        </w:rPr>
        <w:t>环境影响评价、环境保护设施设计、竣工环境保护验收、排污许可证核发及其投产后的污染物排放管理</w:t>
      </w:r>
      <w:r>
        <w:rPr>
          <w:rFonts w:ascii="Times New Roman" w:eastAsia="仿宋_GB2312" w:hAnsi="Times New Roman" w:hint="eastAsia"/>
          <w:sz w:val="32"/>
          <w:szCs w:val="32"/>
        </w:rPr>
        <w:t>，也适用于</w:t>
      </w:r>
      <w:r>
        <w:rPr>
          <w:rFonts w:ascii="Times New Roman" w:eastAsia="仿宋_GB2312" w:hAnsi="Times New Roman"/>
          <w:sz w:val="32"/>
          <w:szCs w:val="32"/>
        </w:rPr>
        <w:t>药物研发机构建设项目</w:t>
      </w:r>
      <w:r>
        <w:rPr>
          <w:rFonts w:ascii="Times New Roman" w:eastAsia="仿宋_GB2312" w:hAnsi="Times New Roman" w:hint="eastAsia"/>
          <w:sz w:val="32"/>
          <w:szCs w:val="32"/>
        </w:rPr>
        <w:t>及</w:t>
      </w:r>
      <w:proofErr w:type="gramStart"/>
      <w:r>
        <w:rPr>
          <w:rFonts w:ascii="Times New Roman" w:eastAsia="仿宋_GB2312" w:hAnsi="Times New Roman"/>
          <w:sz w:val="32"/>
          <w:szCs w:val="32"/>
        </w:rPr>
        <w:t>供药物</w:t>
      </w:r>
      <w:proofErr w:type="gramEnd"/>
      <w:r>
        <w:rPr>
          <w:rFonts w:ascii="Times New Roman" w:eastAsia="仿宋_GB2312" w:hAnsi="Times New Roman"/>
          <w:sz w:val="32"/>
          <w:szCs w:val="32"/>
        </w:rPr>
        <w:t>生产的医药中间体建设项目</w:t>
      </w:r>
      <w:r>
        <w:rPr>
          <w:rFonts w:ascii="Times New Roman" w:eastAsia="仿宋_GB2312" w:hAnsi="Times New Roman" w:hint="eastAsia"/>
          <w:sz w:val="32"/>
          <w:szCs w:val="32"/>
        </w:rPr>
        <w:t>和现有制药</w:t>
      </w:r>
      <w:r>
        <w:rPr>
          <w:rFonts w:ascii="Times New Roman" w:eastAsia="仿宋_GB2312" w:hAnsi="Times New Roman"/>
          <w:sz w:val="32"/>
          <w:szCs w:val="32"/>
        </w:rPr>
        <w:t>行业建设项目</w:t>
      </w:r>
      <w:r>
        <w:rPr>
          <w:rFonts w:ascii="Times New Roman" w:eastAsia="仿宋_GB2312" w:hAnsi="Times New Roman" w:hint="eastAsia"/>
          <w:sz w:val="32"/>
          <w:szCs w:val="32"/>
        </w:rPr>
        <w:t>的</w:t>
      </w:r>
      <w:r>
        <w:rPr>
          <w:rFonts w:ascii="Times New Roman" w:eastAsia="仿宋_GB2312" w:hAnsi="Times New Roman"/>
          <w:sz w:val="32"/>
          <w:szCs w:val="32"/>
        </w:rPr>
        <w:t>整治和相关环境管理活动。</w:t>
      </w:r>
    </w:p>
    <w:p w:rsidR="000D152C" w:rsidRDefault="00831701">
      <w:pPr>
        <w:adjustRightInd w:val="0"/>
        <w:snapToGrid w:val="0"/>
        <w:spacing w:after="0" w:line="58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本《意见》</w:t>
      </w:r>
      <w:r>
        <w:rPr>
          <w:rFonts w:ascii="Times New Roman" w:eastAsia="仿宋_GB2312" w:hAnsi="Times New Roman" w:hint="eastAsia"/>
          <w:sz w:val="32"/>
          <w:szCs w:val="32"/>
        </w:rPr>
        <w:t>中现有制药</w:t>
      </w:r>
      <w:r>
        <w:rPr>
          <w:rFonts w:ascii="Times New Roman" w:eastAsia="仿宋_GB2312" w:hAnsi="Times New Roman"/>
          <w:sz w:val="32"/>
          <w:szCs w:val="32"/>
        </w:rPr>
        <w:t>行业建设项目是指本《意见》实施之日前已建成投产或环境影响评价文件已通过审批的</w:t>
      </w:r>
      <w:r>
        <w:rPr>
          <w:rFonts w:ascii="Times New Roman" w:eastAsia="仿宋_GB2312" w:hAnsi="Times New Roman" w:hint="eastAsia"/>
          <w:sz w:val="32"/>
          <w:szCs w:val="32"/>
        </w:rPr>
        <w:t>建设项目</w:t>
      </w:r>
      <w:r>
        <w:rPr>
          <w:rFonts w:ascii="Times New Roman" w:eastAsia="仿宋_GB2312" w:hAnsi="Times New Roman"/>
          <w:sz w:val="32"/>
          <w:szCs w:val="32"/>
        </w:rPr>
        <w:t>。新建、改扩建和迁建</w:t>
      </w:r>
      <w:r>
        <w:rPr>
          <w:rFonts w:ascii="Times New Roman" w:eastAsia="仿宋_GB2312" w:hAnsi="Times New Roman" w:hint="eastAsia"/>
          <w:sz w:val="32"/>
          <w:szCs w:val="32"/>
        </w:rPr>
        <w:t>制药</w:t>
      </w:r>
      <w:r>
        <w:rPr>
          <w:rFonts w:ascii="Times New Roman" w:eastAsia="仿宋_GB2312" w:hAnsi="Times New Roman"/>
          <w:sz w:val="32"/>
          <w:szCs w:val="32"/>
        </w:rPr>
        <w:t>行业建设项目是指本《意</w:t>
      </w:r>
      <w:r>
        <w:rPr>
          <w:rFonts w:ascii="Times New Roman" w:eastAsia="仿宋_GB2312" w:hAnsi="Times New Roman"/>
          <w:sz w:val="32"/>
          <w:szCs w:val="32"/>
        </w:rPr>
        <w:lastRenderedPageBreak/>
        <w:t>见》实施之日起环境影响评价文件通过审批的新建、改扩建和迁建</w:t>
      </w:r>
      <w:r>
        <w:rPr>
          <w:rFonts w:ascii="Times New Roman" w:eastAsia="仿宋_GB2312" w:hAnsi="Times New Roman" w:hint="eastAsia"/>
          <w:sz w:val="32"/>
          <w:szCs w:val="32"/>
        </w:rPr>
        <w:t>的建设项目</w:t>
      </w:r>
      <w:r>
        <w:rPr>
          <w:rFonts w:ascii="Times New Roman" w:eastAsia="仿宋_GB2312" w:hAnsi="Times New Roman"/>
          <w:sz w:val="32"/>
          <w:szCs w:val="32"/>
        </w:rPr>
        <w:t>。</w:t>
      </w:r>
    </w:p>
    <w:p w:rsidR="000D152C" w:rsidRDefault="00831701">
      <w:pPr>
        <w:pStyle w:val="2"/>
        <w:spacing w:before="0" w:after="0" w:line="580" w:lineRule="exact"/>
        <w:ind w:firstLineChars="200" w:firstLine="640"/>
        <w:jc w:val="both"/>
        <w:rPr>
          <w:rFonts w:ascii="黑体" w:eastAsia="黑体" w:hAnsi="黑体" w:cs="Times New Roman"/>
          <w:bCs/>
          <w:color w:val="000000" w:themeColor="text1"/>
          <w:sz w:val="32"/>
          <w:szCs w:val="32"/>
          <w14:ligatures w14:val="none"/>
        </w:rPr>
      </w:pPr>
      <w:r>
        <w:rPr>
          <w:rFonts w:ascii="黑体" w:eastAsia="黑体" w:hAnsi="黑体" w:cs="Times New Roman" w:hint="eastAsia"/>
          <w:bCs/>
          <w:color w:val="000000" w:themeColor="text1"/>
          <w:sz w:val="32"/>
          <w:szCs w:val="32"/>
          <w14:ligatures w14:val="none"/>
        </w:rPr>
        <w:t>二、</w:t>
      </w:r>
      <w:r>
        <w:rPr>
          <w:rFonts w:ascii="黑体" w:eastAsia="黑体" w:hAnsi="黑体" w:cs="Times New Roman"/>
          <w:bCs/>
          <w:color w:val="000000" w:themeColor="text1"/>
          <w:sz w:val="32"/>
          <w:szCs w:val="32"/>
          <w14:ligatures w14:val="none"/>
        </w:rPr>
        <w:t>产业</w:t>
      </w:r>
      <w:r>
        <w:rPr>
          <w:rFonts w:ascii="黑体" w:eastAsia="黑体" w:hAnsi="黑体" w:cs="Times New Roman" w:hint="eastAsia"/>
          <w:bCs/>
          <w:color w:val="000000" w:themeColor="text1"/>
          <w:sz w:val="32"/>
          <w:szCs w:val="32"/>
          <w14:ligatures w14:val="none"/>
        </w:rPr>
        <w:t>政策</w:t>
      </w:r>
      <w:r>
        <w:rPr>
          <w:rFonts w:ascii="黑体" w:eastAsia="黑体" w:hAnsi="黑体" w:cs="Times New Roman"/>
          <w:bCs/>
          <w:color w:val="000000" w:themeColor="text1"/>
          <w:sz w:val="32"/>
          <w:szCs w:val="32"/>
          <w14:ligatures w14:val="none"/>
        </w:rPr>
        <w:t>与空间准入</w:t>
      </w:r>
    </w:p>
    <w:p w:rsidR="000D152C" w:rsidRDefault="00831701">
      <w:pPr>
        <w:pStyle w:val="3"/>
        <w:spacing w:before="0" w:after="0" w:line="580" w:lineRule="exact"/>
        <w:ind w:firstLineChars="200" w:firstLine="643"/>
        <w:jc w:val="both"/>
        <w:rPr>
          <w:rFonts w:ascii="楷体_GB2312" w:eastAsia="楷体_GB2312" w:hAnsi="Times New Roman" w:cs="Times New Roman"/>
          <w:b/>
          <w:bCs/>
          <w:color w:val="000000" w:themeColor="text1"/>
          <w:kern w:val="0"/>
          <w14:ligatures w14:val="none"/>
        </w:rPr>
      </w:pPr>
      <w:r>
        <w:rPr>
          <w:rFonts w:ascii="楷体_GB2312" w:eastAsia="楷体_GB2312" w:hAnsi="Times New Roman" w:cs="Times New Roman" w:hint="eastAsia"/>
          <w:b/>
          <w:bCs/>
          <w:color w:val="000000" w:themeColor="text1"/>
          <w:kern w:val="0"/>
          <w14:ligatures w14:val="none"/>
        </w:rPr>
        <w:t>（一）</w:t>
      </w:r>
      <w:r>
        <w:rPr>
          <w:rFonts w:ascii="楷体_GB2312" w:eastAsia="楷体_GB2312" w:hAnsi="Times New Roman" w:cs="Times New Roman"/>
          <w:b/>
          <w:bCs/>
          <w:color w:val="000000" w:themeColor="text1"/>
          <w:kern w:val="0"/>
          <w14:ligatures w14:val="none"/>
        </w:rPr>
        <w:t>产业政策</w:t>
      </w:r>
    </w:p>
    <w:p w:rsidR="000D152C" w:rsidRDefault="00831701">
      <w:pPr>
        <w:adjustRightInd w:val="0"/>
        <w:snapToGrid w:val="0"/>
        <w:spacing w:after="0" w:line="58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新建、改扩建、迁建</w:t>
      </w:r>
      <w:r>
        <w:rPr>
          <w:rFonts w:ascii="Times New Roman" w:eastAsia="仿宋_GB2312" w:hAnsi="Times New Roman" w:hint="eastAsia"/>
          <w:sz w:val="32"/>
          <w:szCs w:val="32"/>
        </w:rPr>
        <w:t>制药行业建设项目</w:t>
      </w:r>
      <w:r>
        <w:rPr>
          <w:rFonts w:ascii="Times New Roman" w:eastAsia="仿宋_GB2312" w:hAnsi="Times New Roman"/>
          <w:sz w:val="32"/>
          <w:szCs w:val="32"/>
        </w:rPr>
        <w:t>应符合相关法律法规和政策，符合国家及地方产业结构调整、落后产能淘汰的相关要求。新建</w:t>
      </w:r>
      <w:r>
        <w:rPr>
          <w:rFonts w:ascii="Times New Roman" w:eastAsia="仿宋_GB2312" w:hAnsi="Times New Roman" w:hint="eastAsia"/>
          <w:sz w:val="32"/>
          <w:szCs w:val="32"/>
        </w:rPr>
        <w:t>制药行业建设项目</w:t>
      </w:r>
      <w:r>
        <w:rPr>
          <w:rFonts w:ascii="Times New Roman" w:eastAsia="仿宋_GB2312" w:hAnsi="Times New Roman"/>
          <w:sz w:val="32"/>
          <w:szCs w:val="32"/>
        </w:rPr>
        <w:t>应采用先进生产工艺和设备，禁止新增《产业结构调整指导目录》中限制类、淘汰类的落后生产工艺、设备和产品</w:t>
      </w:r>
      <w:r>
        <w:rPr>
          <w:rFonts w:ascii="Times New Roman" w:eastAsia="仿宋_GB2312" w:hAnsi="Times New Roman" w:hint="eastAsia"/>
          <w:sz w:val="32"/>
          <w:szCs w:val="32"/>
        </w:rPr>
        <w:t>，鼓励</w:t>
      </w:r>
      <w:r>
        <w:rPr>
          <w:rFonts w:ascii="Times New Roman" w:eastAsia="仿宋_GB2312" w:hAnsi="Times New Roman"/>
          <w:sz w:val="32"/>
          <w:szCs w:val="32"/>
        </w:rPr>
        <w:t>发展特色药</w:t>
      </w:r>
      <w:r>
        <w:rPr>
          <w:rFonts w:ascii="Times New Roman" w:eastAsia="仿宋_GB2312" w:hAnsi="Times New Roman" w:hint="eastAsia"/>
          <w:sz w:val="32"/>
          <w:szCs w:val="32"/>
        </w:rPr>
        <w:t>、</w:t>
      </w:r>
      <w:r>
        <w:rPr>
          <w:rFonts w:ascii="Times New Roman" w:eastAsia="仿宋_GB2312" w:hAnsi="Times New Roman"/>
          <w:sz w:val="32"/>
          <w:szCs w:val="32"/>
        </w:rPr>
        <w:t>创新药，</w:t>
      </w:r>
      <w:r>
        <w:rPr>
          <w:rFonts w:ascii="Times New Roman" w:eastAsia="仿宋_GB2312" w:hAnsi="Times New Roman" w:hint="eastAsia"/>
          <w:sz w:val="32"/>
          <w:szCs w:val="32"/>
        </w:rPr>
        <w:t>提高新产品、高附加值产品比重</w:t>
      </w:r>
      <w:r>
        <w:rPr>
          <w:rFonts w:ascii="Times New Roman" w:eastAsia="仿宋_GB2312" w:hAnsi="Times New Roman"/>
          <w:sz w:val="32"/>
          <w:szCs w:val="32"/>
        </w:rPr>
        <w:t>，延伸产业链条。</w:t>
      </w:r>
    </w:p>
    <w:p w:rsidR="000D152C" w:rsidRDefault="00831701">
      <w:pPr>
        <w:pStyle w:val="3"/>
        <w:spacing w:before="0" w:after="0" w:line="580" w:lineRule="exact"/>
        <w:ind w:firstLineChars="200" w:firstLine="643"/>
        <w:jc w:val="both"/>
        <w:rPr>
          <w:rFonts w:ascii="楷体_GB2312" w:eastAsia="楷体_GB2312" w:hAnsi="Times New Roman" w:cs="Times New Roman"/>
          <w:b/>
          <w:bCs/>
          <w:color w:val="000000" w:themeColor="text1"/>
          <w:kern w:val="0"/>
          <w14:ligatures w14:val="none"/>
        </w:rPr>
      </w:pPr>
      <w:r>
        <w:rPr>
          <w:rFonts w:ascii="楷体_GB2312" w:eastAsia="楷体_GB2312" w:hAnsi="Times New Roman" w:cs="Times New Roman" w:hint="eastAsia"/>
          <w:b/>
          <w:bCs/>
          <w:color w:val="000000" w:themeColor="text1"/>
          <w:kern w:val="0"/>
          <w14:ligatures w14:val="none"/>
        </w:rPr>
        <w:t>（二）空间准入</w:t>
      </w:r>
    </w:p>
    <w:p w:rsidR="000D152C" w:rsidRDefault="00831701">
      <w:pPr>
        <w:adjustRightInd w:val="0"/>
        <w:snapToGrid w:val="0"/>
        <w:spacing w:after="0" w:line="58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新建、改扩建、迁建</w:t>
      </w:r>
      <w:r>
        <w:rPr>
          <w:rFonts w:ascii="Times New Roman" w:eastAsia="仿宋_GB2312" w:hAnsi="Times New Roman" w:hint="eastAsia"/>
          <w:sz w:val="32"/>
          <w:szCs w:val="32"/>
        </w:rPr>
        <w:t>制药行业建设</w:t>
      </w:r>
      <w:r>
        <w:rPr>
          <w:rFonts w:ascii="Times New Roman" w:eastAsia="仿宋_GB2312" w:hAnsi="Times New Roman"/>
          <w:sz w:val="32"/>
          <w:szCs w:val="32"/>
        </w:rPr>
        <w:t>项目选址必须符合国土空间规划和生态环境分区管控要求。</w:t>
      </w:r>
    </w:p>
    <w:p w:rsidR="000D152C" w:rsidRDefault="00831701">
      <w:pPr>
        <w:adjustRightInd w:val="0"/>
        <w:snapToGrid w:val="0"/>
        <w:spacing w:after="0" w:line="58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新建、改扩建、迁建制药行业建设项目必须进入产业园区并符合园区规划、规划环</w:t>
      </w:r>
      <w:proofErr w:type="gramStart"/>
      <w:r>
        <w:rPr>
          <w:rFonts w:ascii="Times New Roman" w:eastAsia="仿宋_GB2312" w:hAnsi="Times New Roman" w:hint="eastAsia"/>
          <w:sz w:val="32"/>
          <w:szCs w:val="32"/>
        </w:rPr>
        <w:t>评及其</w:t>
      </w:r>
      <w:proofErr w:type="gramEnd"/>
      <w:r>
        <w:rPr>
          <w:rFonts w:ascii="Times New Roman" w:eastAsia="仿宋_GB2312" w:hAnsi="Times New Roman" w:hint="eastAsia"/>
          <w:sz w:val="32"/>
          <w:szCs w:val="32"/>
        </w:rPr>
        <w:t>审查意见的要求，鼓励园区</w:t>
      </w:r>
      <w:proofErr w:type="gramStart"/>
      <w:r>
        <w:rPr>
          <w:rFonts w:ascii="Times New Roman" w:eastAsia="仿宋_GB2312" w:hAnsi="Times New Roman" w:hint="eastAsia"/>
          <w:sz w:val="32"/>
          <w:szCs w:val="32"/>
        </w:rPr>
        <w:t>外现有</w:t>
      </w:r>
      <w:proofErr w:type="gramEnd"/>
      <w:r>
        <w:rPr>
          <w:rFonts w:ascii="Times New Roman" w:eastAsia="仿宋_GB2312" w:hAnsi="Times New Roman" w:hint="eastAsia"/>
          <w:sz w:val="32"/>
          <w:szCs w:val="32"/>
        </w:rPr>
        <w:t>制药企业搬迁</w:t>
      </w:r>
      <w:proofErr w:type="gramStart"/>
      <w:r>
        <w:rPr>
          <w:rFonts w:ascii="Times New Roman" w:eastAsia="仿宋_GB2312" w:hAnsi="Times New Roman" w:hint="eastAsia"/>
          <w:sz w:val="32"/>
          <w:szCs w:val="32"/>
        </w:rPr>
        <w:t>至产业</w:t>
      </w:r>
      <w:proofErr w:type="gramEnd"/>
      <w:r>
        <w:rPr>
          <w:rFonts w:ascii="Times New Roman" w:eastAsia="仿宋_GB2312" w:hAnsi="Times New Roman" w:hint="eastAsia"/>
          <w:sz w:val="32"/>
          <w:szCs w:val="32"/>
        </w:rPr>
        <w:t>园区。</w:t>
      </w:r>
      <w:r>
        <w:rPr>
          <w:rFonts w:ascii="Times New Roman" w:eastAsia="仿宋_GB2312" w:hAnsi="Times New Roman" w:hint="eastAsia"/>
          <w:sz w:val="32"/>
          <w:szCs w:val="32"/>
        </w:rPr>
        <w:t xml:space="preserve"> </w:t>
      </w:r>
    </w:p>
    <w:p w:rsidR="000D152C" w:rsidRDefault="00831701">
      <w:pPr>
        <w:pStyle w:val="2"/>
        <w:spacing w:before="0" w:after="0" w:line="580" w:lineRule="exact"/>
        <w:ind w:firstLineChars="200" w:firstLine="640"/>
        <w:jc w:val="both"/>
        <w:rPr>
          <w:rFonts w:ascii="黑体" w:eastAsia="黑体" w:hAnsi="黑体" w:cs="Times New Roman"/>
          <w:bCs/>
          <w:color w:val="000000" w:themeColor="text1"/>
          <w:sz w:val="32"/>
          <w:szCs w:val="32"/>
          <w14:ligatures w14:val="none"/>
        </w:rPr>
      </w:pPr>
      <w:r>
        <w:rPr>
          <w:rFonts w:ascii="黑体" w:eastAsia="黑体" w:hAnsi="黑体" w:cs="Times New Roman" w:hint="eastAsia"/>
          <w:bCs/>
          <w:color w:val="000000" w:themeColor="text1"/>
          <w:sz w:val="32"/>
          <w:szCs w:val="32"/>
          <w14:ligatures w14:val="none"/>
        </w:rPr>
        <w:t>三、工艺与装备</w:t>
      </w:r>
    </w:p>
    <w:p w:rsidR="000D152C" w:rsidRDefault="00831701">
      <w:pPr>
        <w:adjustRightInd w:val="0"/>
        <w:snapToGrid w:val="0"/>
        <w:spacing w:after="0" w:line="58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（一）鼓励</w:t>
      </w:r>
      <w:r>
        <w:rPr>
          <w:rFonts w:ascii="Times New Roman" w:eastAsia="仿宋_GB2312" w:hAnsi="Times New Roman" w:hint="eastAsia"/>
          <w:sz w:val="32"/>
          <w:szCs w:val="32"/>
        </w:rPr>
        <w:t>制药行业建设项目</w:t>
      </w:r>
      <w:r>
        <w:rPr>
          <w:rFonts w:ascii="Times New Roman" w:eastAsia="仿宋_GB2312" w:hAnsi="Times New Roman"/>
          <w:sz w:val="32"/>
          <w:szCs w:val="32"/>
        </w:rPr>
        <w:t>自主研发和创新，引进国内外先进的设计理念、生产技术和管理制度。鼓励</w:t>
      </w:r>
      <w:r>
        <w:rPr>
          <w:rFonts w:ascii="Times New Roman" w:eastAsia="仿宋_GB2312" w:hAnsi="Times New Roman" w:hint="eastAsia"/>
          <w:sz w:val="32"/>
          <w:szCs w:val="32"/>
        </w:rPr>
        <w:t>制药行业建设项目</w:t>
      </w:r>
      <w:r>
        <w:rPr>
          <w:rFonts w:ascii="Times New Roman" w:eastAsia="仿宋_GB2312" w:hAnsi="Times New Roman"/>
          <w:sz w:val="32"/>
          <w:szCs w:val="32"/>
        </w:rPr>
        <w:t>对</w:t>
      </w:r>
      <w:proofErr w:type="gramStart"/>
      <w:r>
        <w:rPr>
          <w:rFonts w:ascii="Times New Roman" w:eastAsia="仿宋_GB2312" w:hAnsi="Times New Roman"/>
          <w:sz w:val="32"/>
          <w:szCs w:val="32"/>
        </w:rPr>
        <w:t>标行业</w:t>
      </w:r>
      <w:proofErr w:type="gramEnd"/>
      <w:r>
        <w:rPr>
          <w:rFonts w:ascii="Times New Roman" w:eastAsia="仿宋_GB2312" w:hAnsi="Times New Roman"/>
          <w:sz w:val="32"/>
          <w:szCs w:val="32"/>
        </w:rPr>
        <w:t>标杆实施安全化、绿色化、智能化改造，鼓励采用连续化生产工艺和定量化控制技术，推进连续硝化、连续加氢、连续（定向）氯化、连续氧化、连续氟化、连续酯化、新型烷基化、连续胺化（氨化）、连续重氮化、水解、微通道、分步结晶、真空精密精馏等连续化工艺技术的研发</w:t>
      </w:r>
      <w:r>
        <w:rPr>
          <w:rFonts w:ascii="Times New Roman" w:eastAsia="仿宋_GB2312" w:hAnsi="Times New Roman"/>
          <w:sz w:val="32"/>
          <w:szCs w:val="32"/>
        </w:rPr>
        <w:lastRenderedPageBreak/>
        <w:t>与推广应用。</w:t>
      </w:r>
    </w:p>
    <w:p w:rsidR="000D152C" w:rsidRDefault="00831701">
      <w:pPr>
        <w:adjustRightInd w:val="0"/>
        <w:snapToGrid w:val="0"/>
        <w:spacing w:after="0" w:line="58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hint="eastAsia"/>
          <w:sz w:val="32"/>
          <w:szCs w:val="32"/>
        </w:rPr>
        <w:t>二</w:t>
      </w:r>
      <w:r>
        <w:rPr>
          <w:rFonts w:ascii="Times New Roman" w:eastAsia="仿宋_GB2312" w:hAnsi="Times New Roman"/>
          <w:sz w:val="32"/>
          <w:szCs w:val="32"/>
        </w:rPr>
        <w:t>）加快高效催化、生物催化、反应精馏、超重力、密闭化技术，有毒有害及高</w:t>
      </w:r>
      <w:r>
        <w:rPr>
          <w:rFonts w:ascii="Times New Roman" w:eastAsia="仿宋_GB2312" w:hAnsi="Times New Roman"/>
          <w:sz w:val="32"/>
          <w:szCs w:val="32"/>
        </w:rPr>
        <w:t>VOCs</w:t>
      </w:r>
      <w:r>
        <w:rPr>
          <w:rFonts w:ascii="Times New Roman" w:eastAsia="仿宋_GB2312" w:hAnsi="Times New Roman"/>
          <w:sz w:val="32"/>
          <w:szCs w:val="32"/>
        </w:rPr>
        <w:t>含量原辅材料替代技术等研发与推广应用，</w:t>
      </w:r>
      <w:r>
        <w:rPr>
          <w:rFonts w:ascii="Times New Roman" w:eastAsia="仿宋_GB2312" w:hAnsi="Times New Roman" w:hint="eastAsia"/>
          <w:sz w:val="32"/>
          <w:szCs w:val="32"/>
        </w:rPr>
        <w:t>采用无毒、低毒、低臭、低反应活性的原料替代高毒、恶臭或高反应活性的原料。对生产中使用剧毒化学品、具有“三致”毒理特性的物质、具有明显恶臭影响特征的物质和列为优先控制化学品名录的物质的项目，应采取措施严格控制相应污染物的产生。</w:t>
      </w:r>
    </w:p>
    <w:p w:rsidR="000D152C" w:rsidRDefault="00831701">
      <w:pPr>
        <w:adjustRightInd w:val="0"/>
        <w:snapToGrid w:val="0"/>
        <w:spacing w:after="0" w:line="58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hint="eastAsia"/>
          <w:sz w:val="32"/>
          <w:szCs w:val="32"/>
        </w:rPr>
        <w:t>三</w:t>
      </w:r>
      <w:r>
        <w:rPr>
          <w:rFonts w:ascii="Times New Roman" w:eastAsia="仿宋_GB2312" w:hAnsi="Times New Roman"/>
          <w:sz w:val="32"/>
          <w:szCs w:val="32"/>
        </w:rPr>
        <w:t>）</w:t>
      </w:r>
      <w:r>
        <w:rPr>
          <w:rFonts w:ascii="Times New Roman" w:eastAsia="仿宋_GB2312" w:hAnsi="Times New Roman" w:hint="eastAsia"/>
          <w:sz w:val="32"/>
          <w:szCs w:val="32"/>
        </w:rPr>
        <w:t>新建生产车间原则上应采取垂直布置流程，宜提升工艺装备水平，采用连续化、自动化、密闭性高的生产工艺和设备，减少物料转运次数，通过合理布置实现全封闭生产。</w:t>
      </w:r>
    </w:p>
    <w:p w:rsidR="000D152C" w:rsidRDefault="00831701">
      <w:pPr>
        <w:adjustRightInd w:val="0"/>
        <w:snapToGrid w:val="0"/>
        <w:spacing w:after="0" w:line="58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hint="eastAsia"/>
          <w:sz w:val="32"/>
          <w:szCs w:val="32"/>
        </w:rPr>
        <w:t>四</w:t>
      </w:r>
      <w:r>
        <w:rPr>
          <w:rFonts w:ascii="Times New Roman" w:eastAsia="仿宋_GB2312" w:hAnsi="Times New Roman"/>
          <w:sz w:val="32"/>
          <w:szCs w:val="32"/>
        </w:rPr>
        <w:t>）</w:t>
      </w:r>
      <w:r>
        <w:rPr>
          <w:rFonts w:ascii="Times New Roman" w:eastAsia="仿宋_GB2312" w:hAnsi="Times New Roman" w:hint="eastAsia"/>
          <w:sz w:val="32"/>
          <w:szCs w:val="32"/>
        </w:rPr>
        <w:t>鼓励采用《</w:t>
      </w:r>
      <w:r>
        <w:rPr>
          <w:rFonts w:ascii="Times New Roman" w:eastAsia="仿宋_GB2312" w:hAnsi="Times New Roman"/>
          <w:sz w:val="32"/>
          <w:szCs w:val="32"/>
        </w:rPr>
        <w:t>制药工业污染防治可行技术指南</w:t>
      </w:r>
      <w:r>
        <w:rPr>
          <w:rFonts w:ascii="Times New Roman" w:eastAsia="仿宋_GB2312" w:hAnsi="Times New Roman"/>
          <w:sz w:val="32"/>
          <w:szCs w:val="32"/>
        </w:rPr>
        <w:t xml:space="preserve"> </w:t>
      </w:r>
      <w:r>
        <w:rPr>
          <w:rFonts w:ascii="Times New Roman" w:eastAsia="仿宋_GB2312" w:hAnsi="Times New Roman"/>
          <w:sz w:val="32"/>
          <w:szCs w:val="32"/>
        </w:rPr>
        <w:t>原料药（发酵类、化学合成类、提取类）和制剂类（</w:t>
      </w:r>
      <w:r>
        <w:rPr>
          <w:rFonts w:ascii="Times New Roman" w:eastAsia="仿宋_GB2312" w:hAnsi="Times New Roman"/>
          <w:sz w:val="32"/>
          <w:szCs w:val="32"/>
        </w:rPr>
        <w:t>HJ 1305</w:t>
      </w:r>
      <w:r>
        <w:rPr>
          <w:rFonts w:ascii="Times New Roman" w:eastAsia="仿宋_GB2312" w:hAnsi="Times New Roman" w:hint="eastAsia"/>
          <w:sz w:val="32"/>
          <w:szCs w:val="32"/>
        </w:rPr>
        <w:t>》要求，针对制药行业生产过程中污染源和污染物组分性质的差异，进行分类、分质的收集并处理以实现达标排放。开展源头</w:t>
      </w:r>
      <w:r>
        <w:rPr>
          <w:rFonts w:ascii="Times New Roman" w:eastAsia="仿宋_GB2312" w:hAnsi="Times New Roman"/>
          <w:sz w:val="32"/>
          <w:szCs w:val="32"/>
        </w:rPr>
        <w:t>-</w:t>
      </w:r>
      <w:r>
        <w:rPr>
          <w:rFonts w:ascii="Times New Roman" w:eastAsia="仿宋_GB2312" w:hAnsi="Times New Roman"/>
          <w:sz w:val="32"/>
          <w:szCs w:val="32"/>
        </w:rPr>
        <w:t>过程</w:t>
      </w:r>
      <w:r>
        <w:rPr>
          <w:rFonts w:ascii="Times New Roman" w:eastAsia="仿宋_GB2312" w:hAnsi="Times New Roman"/>
          <w:sz w:val="32"/>
          <w:szCs w:val="32"/>
        </w:rPr>
        <w:t>-</w:t>
      </w:r>
      <w:r>
        <w:rPr>
          <w:rFonts w:ascii="Times New Roman" w:eastAsia="仿宋_GB2312" w:hAnsi="Times New Roman"/>
          <w:sz w:val="32"/>
          <w:szCs w:val="32"/>
        </w:rPr>
        <w:t>末端全流程挥发性有机物综合治理，切实加强无组织排放管控。通过优化生产设备选型、采用密闭式作业、建立密闭式负压废气收集系统等手段，减少无组织废气排放。</w:t>
      </w:r>
    </w:p>
    <w:p w:rsidR="000D152C" w:rsidRDefault="00831701">
      <w:pPr>
        <w:adjustRightInd w:val="0"/>
        <w:snapToGrid w:val="0"/>
        <w:spacing w:after="0" w:line="58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hint="eastAsia"/>
          <w:sz w:val="32"/>
          <w:szCs w:val="32"/>
        </w:rPr>
        <w:t>五</w:t>
      </w:r>
      <w:r>
        <w:rPr>
          <w:rFonts w:ascii="Times New Roman" w:eastAsia="仿宋_GB2312" w:hAnsi="Times New Roman"/>
          <w:sz w:val="32"/>
          <w:szCs w:val="32"/>
        </w:rPr>
        <w:t>）</w:t>
      </w:r>
      <w:r>
        <w:rPr>
          <w:rFonts w:ascii="Times New Roman" w:eastAsia="仿宋_GB2312" w:hAnsi="Times New Roman" w:hint="eastAsia"/>
          <w:sz w:val="32"/>
          <w:szCs w:val="32"/>
        </w:rPr>
        <w:t>鼓励制药行业</w:t>
      </w:r>
      <w:r>
        <w:rPr>
          <w:rFonts w:ascii="Times New Roman" w:eastAsia="仿宋_GB2312" w:hAnsi="Times New Roman"/>
          <w:sz w:val="32"/>
          <w:szCs w:val="32"/>
        </w:rPr>
        <w:t>建立生产与废水、废气处理相结合的全过程监控平台，加强环境风险全过程数字化管理。含生物活性的废气、废水</w:t>
      </w:r>
      <w:r>
        <w:rPr>
          <w:rFonts w:ascii="Times New Roman" w:eastAsia="仿宋_GB2312" w:hAnsi="Times New Roman" w:hint="eastAsia"/>
          <w:sz w:val="32"/>
          <w:szCs w:val="32"/>
        </w:rPr>
        <w:t>、固体废物</w:t>
      </w:r>
      <w:r>
        <w:rPr>
          <w:rFonts w:ascii="Times New Roman" w:eastAsia="仿宋_GB2312" w:hAnsi="Times New Roman"/>
          <w:sz w:val="32"/>
          <w:szCs w:val="32"/>
        </w:rPr>
        <w:t>须先进行灭活、</w:t>
      </w:r>
      <w:r>
        <w:rPr>
          <w:rFonts w:ascii="Times New Roman" w:eastAsia="仿宋_GB2312" w:hAnsi="Times New Roman" w:hint="eastAsia"/>
          <w:sz w:val="32"/>
          <w:szCs w:val="32"/>
        </w:rPr>
        <w:t>灭菌</w:t>
      </w:r>
      <w:r>
        <w:rPr>
          <w:rFonts w:ascii="Times New Roman" w:eastAsia="仿宋_GB2312" w:hAnsi="Times New Roman"/>
          <w:sz w:val="32"/>
          <w:szCs w:val="32"/>
        </w:rPr>
        <w:t>预处理</w:t>
      </w:r>
      <w:r>
        <w:rPr>
          <w:rFonts w:ascii="Times New Roman" w:eastAsia="仿宋_GB2312" w:hAnsi="Times New Roman" w:hint="eastAsia"/>
          <w:sz w:val="32"/>
          <w:szCs w:val="32"/>
        </w:rPr>
        <w:t>后</w:t>
      </w:r>
      <w:r>
        <w:rPr>
          <w:rFonts w:ascii="Times New Roman" w:eastAsia="仿宋_GB2312" w:hAnsi="Times New Roman"/>
          <w:sz w:val="32"/>
          <w:szCs w:val="32"/>
        </w:rPr>
        <w:t>，再纳入污染治理系统，严控生物安全风险</w:t>
      </w:r>
      <w:r>
        <w:rPr>
          <w:rFonts w:ascii="Times New Roman" w:eastAsia="仿宋_GB2312" w:hAnsi="Times New Roman" w:hint="eastAsia"/>
          <w:sz w:val="32"/>
          <w:szCs w:val="32"/>
        </w:rPr>
        <w:t>。</w:t>
      </w:r>
    </w:p>
    <w:p w:rsidR="000D152C" w:rsidRDefault="00831701">
      <w:pPr>
        <w:pStyle w:val="2"/>
        <w:spacing w:before="0" w:after="0" w:line="580" w:lineRule="exact"/>
        <w:ind w:firstLineChars="200" w:firstLine="640"/>
        <w:jc w:val="both"/>
        <w:rPr>
          <w:rFonts w:ascii="黑体" w:eastAsia="黑体" w:hAnsi="黑体" w:cs="Times New Roman"/>
          <w:bCs/>
          <w:color w:val="000000" w:themeColor="text1"/>
          <w:sz w:val="32"/>
          <w:szCs w:val="32"/>
          <w14:ligatures w14:val="none"/>
        </w:rPr>
      </w:pPr>
      <w:r>
        <w:rPr>
          <w:rFonts w:ascii="黑体" w:eastAsia="黑体" w:hAnsi="黑体" w:cs="Times New Roman" w:hint="eastAsia"/>
          <w:bCs/>
          <w:color w:val="000000" w:themeColor="text1"/>
          <w:sz w:val="32"/>
          <w:szCs w:val="32"/>
          <w14:ligatures w14:val="none"/>
        </w:rPr>
        <w:lastRenderedPageBreak/>
        <w:t>四、</w:t>
      </w:r>
      <w:r>
        <w:rPr>
          <w:rFonts w:ascii="黑体" w:eastAsia="黑体" w:hAnsi="黑体" w:cs="Times New Roman"/>
          <w:bCs/>
          <w:color w:val="000000" w:themeColor="text1"/>
          <w:sz w:val="32"/>
          <w:szCs w:val="32"/>
          <w14:ligatures w14:val="none"/>
        </w:rPr>
        <w:t>污染防治</w:t>
      </w:r>
      <w:r>
        <w:rPr>
          <w:rFonts w:ascii="黑体" w:eastAsia="黑体" w:hAnsi="黑体" w:cs="Times New Roman" w:hint="eastAsia"/>
          <w:bCs/>
          <w:color w:val="000000" w:themeColor="text1"/>
          <w:sz w:val="32"/>
          <w:szCs w:val="32"/>
          <w14:ligatures w14:val="none"/>
        </w:rPr>
        <w:t>措施</w:t>
      </w:r>
    </w:p>
    <w:p w:rsidR="000D152C" w:rsidRDefault="00831701">
      <w:pPr>
        <w:pStyle w:val="3"/>
        <w:spacing w:before="0" w:after="0" w:line="580" w:lineRule="exact"/>
        <w:ind w:firstLineChars="200" w:firstLine="643"/>
        <w:jc w:val="both"/>
        <w:rPr>
          <w:rFonts w:ascii="楷体_GB2312" w:eastAsia="楷体_GB2312" w:hAnsi="Times New Roman" w:cs="Times New Roman"/>
          <w:b/>
          <w:bCs/>
          <w:color w:val="000000" w:themeColor="text1"/>
          <w:kern w:val="0"/>
          <w14:ligatures w14:val="none"/>
        </w:rPr>
      </w:pPr>
      <w:r>
        <w:rPr>
          <w:rFonts w:ascii="楷体_GB2312" w:eastAsia="楷体_GB2312" w:hAnsi="Times New Roman" w:cs="Times New Roman" w:hint="eastAsia"/>
          <w:b/>
          <w:bCs/>
          <w:color w:val="000000" w:themeColor="text1"/>
          <w:kern w:val="0"/>
          <w14:ligatures w14:val="none"/>
        </w:rPr>
        <w:t>（一）</w:t>
      </w:r>
      <w:r>
        <w:rPr>
          <w:rFonts w:ascii="楷体_GB2312" w:eastAsia="楷体_GB2312" w:hAnsi="Times New Roman" w:cs="Times New Roman"/>
          <w:b/>
          <w:bCs/>
          <w:color w:val="000000" w:themeColor="text1"/>
          <w:kern w:val="0"/>
          <w14:ligatures w14:val="none"/>
        </w:rPr>
        <w:t>水污染防治</w:t>
      </w:r>
      <w:r>
        <w:rPr>
          <w:rFonts w:ascii="楷体_GB2312" w:eastAsia="楷体_GB2312" w:hAnsi="Times New Roman" w:cs="Times New Roman" w:hint="eastAsia"/>
          <w:b/>
          <w:bCs/>
          <w:color w:val="000000" w:themeColor="text1"/>
          <w:kern w:val="0"/>
          <w14:ligatures w14:val="none"/>
        </w:rPr>
        <w:t>措施</w:t>
      </w:r>
    </w:p>
    <w:p w:rsidR="000D152C" w:rsidRDefault="00831701">
      <w:pPr>
        <w:adjustRightInd w:val="0"/>
        <w:snapToGrid w:val="0"/>
        <w:spacing w:after="0" w:line="58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废水应分质收集，做到</w:t>
      </w:r>
      <w:r>
        <w:rPr>
          <w:rFonts w:ascii="Times New Roman" w:eastAsia="仿宋_GB2312" w:hAnsi="Times New Roman"/>
          <w:sz w:val="32"/>
          <w:szCs w:val="32"/>
        </w:rPr>
        <w:t>“</w:t>
      </w:r>
      <w:r>
        <w:rPr>
          <w:rFonts w:ascii="Times New Roman" w:eastAsia="仿宋_GB2312" w:hAnsi="Times New Roman"/>
          <w:sz w:val="32"/>
          <w:szCs w:val="32"/>
        </w:rPr>
        <w:t>清污分流、雨污分流、污</w:t>
      </w:r>
      <w:proofErr w:type="gramStart"/>
      <w:r>
        <w:rPr>
          <w:rFonts w:ascii="Times New Roman" w:eastAsia="仿宋_GB2312" w:hAnsi="Times New Roman"/>
          <w:sz w:val="32"/>
          <w:szCs w:val="32"/>
        </w:rPr>
        <w:t>污</w:t>
      </w:r>
      <w:proofErr w:type="gramEnd"/>
      <w:r>
        <w:rPr>
          <w:rFonts w:ascii="Times New Roman" w:eastAsia="仿宋_GB2312" w:hAnsi="Times New Roman"/>
          <w:sz w:val="32"/>
          <w:szCs w:val="32"/>
        </w:rPr>
        <w:t>分流</w:t>
      </w:r>
      <w:r>
        <w:rPr>
          <w:rFonts w:ascii="Times New Roman" w:eastAsia="仿宋_GB2312" w:hAnsi="Times New Roman"/>
          <w:sz w:val="32"/>
          <w:szCs w:val="32"/>
        </w:rPr>
        <w:t>”</w:t>
      </w:r>
      <w:r>
        <w:rPr>
          <w:rFonts w:ascii="Times New Roman" w:eastAsia="仿宋_GB2312" w:hAnsi="Times New Roman"/>
          <w:sz w:val="32"/>
          <w:szCs w:val="32"/>
        </w:rPr>
        <w:t>，初期雨水应收集并排至污水处理设施；</w:t>
      </w:r>
      <w:r>
        <w:rPr>
          <w:rFonts w:ascii="Times New Roman" w:eastAsia="仿宋_GB2312" w:hAnsi="Times New Roman" w:hint="eastAsia"/>
          <w:sz w:val="32"/>
          <w:szCs w:val="32"/>
        </w:rPr>
        <w:t>各企业每处生产厂区只能设一个污水排放口，并按照有关规定安装在线监测监控设施。合理设置雨水排放口，配备雨水自动切换系统，</w:t>
      </w:r>
      <w:proofErr w:type="gramStart"/>
      <w:r>
        <w:rPr>
          <w:rFonts w:ascii="Times New Roman" w:eastAsia="仿宋_GB2312" w:hAnsi="Times New Roman" w:hint="eastAsia"/>
          <w:sz w:val="32"/>
          <w:szCs w:val="32"/>
        </w:rPr>
        <w:t>宜实施</w:t>
      </w:r>
      <w:proofErr w:type="gramEnd"/>
      <w:r>
        <w:rPr>
          <w:rFonts w:ascii="Times New Roman" w:eastAsia="仿宋_GB2312" w:hAnsi="Times New Roman" w:hint="eastAsia"/>
          <w:sz w:val="32"/>
          <w:szCs w:val="32"/>
        </w:rPr>
        <w:t>雨水排放口智能化监控。</w:t>
      </w:r>
    </w:p>
    <w:p w:rsidR="000D152C" w:rsidRDefault="00831701">
      <w:pPr>
        <w:adjustRightInd w:val="0"/>
        <w:snapToGrid w:val="0"/>
        <w:spacing w:after="0" w:line="58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制药行业建设项目</w:t>
      </w:r>
      <w:r>
        <w:rPr>
          <w:rFonts w:ascii="Times New Roman" w:eastAsia="仿宋_GB2312" w:hAnsi="Times New Roman"/>
          <w:sz w:val="32"/>
          <w:szCs w:val="32"/>
        </w:rPr>
        <w:t>须配套合适的生产废水预处理措施和设施，除常规指标外，尤其应关注特征污染因子的治理措施，污水处理工艺设计应考虑生产过程使用或产生的高毒害或生物抑制性强、难降解有机物的处理单元。鼓励回收利用废水中有用物质；影响达标排放和后续生化处理的重金属、高氨氮、高磷、高盐分、高毒害（包括氟化物、氰化物等）、高热、高浓度难降解废水应单独配套预处理设施，高盐分母液应配套脱盐设施或采取其他先进技术进行处理。鼓励高浓度、难降解有机废水（液）采用焚烧方式处理。</w:t>
      </w:r>
    </w:p>
    <w:p w:rsidR="000D152C" w:rsidRDefault="00831701">
      <w:pPr>
        <w:adjustRightInd w:val="0"/>
        <w:snapToGrid w:val="0"/>
        <w:spacing w:after="0" w:line="58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涉及《污水综合排放标准》（</w:t>
      </w:r>
      <w:r>
        <w:rPr>
          <w:rFonts w:ascii="Times New Roman" w:eastAsia="仿宋_GB2312" w:hAnsi="Times New Roman"/>
          <w:sz w:val="32"/>
          <w:szCs w:val="32"/>
        </w:rPr>
        <w:t>GB</w:t>
      </w:r>
      <w:r>
        <w:rPr>
          <w:rFonts w:ascii="Times New Roman" w:eastAsia="仿宋_GB2312" w:hAnsi="Times New Roman" w:hint="eastAsia"/>
          <w:sz w:val="32"/>
          <w:szCs w:val="32"/>
        </w:rPr>
        <w:t xml:space="preserve"> </w:t>
      </w:r>
      <w:r>
        <w:rPr>
          <w:rFonts w:ascii="Times New Roman" w:eastAsia="仿宋_GB2312" w:hAnsi="Times New Roman"/>
          <w:sz w:val="32"/>
          <w:szCs w:val="32"/>
        </w:rPr>
        <w:t>8978</w:t>
      </w:r>
      <w:r>
        <w:rPr>
          <w:rFonts w:ascii="Times New Roman" w:eastAsia="仿宋_GB2312" w:hAnsi="Times New Roman"/>
          <w:sz w:val="32"/>
          <w:szCs w:val="32"/>
        </w:rPr>
        <w:t>）中第一类污染物和《有毒有害水污染物名录》中所列污染物的，应对相关污染物加强监控。项目排放的废水污染物应符合《化学合成类制药工业水污染物排放标准》（</w:t>
      </w:r>
      <w:r>
        <w:rPr>
          <w:rFonts w:ascii="Times New Roman" w:eastAsia="仿宋_GB2312" w:hAnsi="Times New Roman"/>
          <w:sz w:val="32"/>
          <w:szCs w:val="32"/>
        </w:rPr>
        <w:t>GB</w:t>
      </w:r>
      <w:r>
        <w:rPr>
          <w:rFonts w:ascii="Times New Roman" w:eastAsia="仿宋_GB2312" w:hAnsi="Times New Roman" w:hint="eastAsia"/>
          <w:sz w:val="32"/>
          <w:szCs w:val="32"/>
        </w:rPr>
        <w:t xml:space="preserve"> </w:t>
      </w:r>
      <w:r>
        <w:rPr>
          <w:rFonts w:ascii="Times New Roman" w:eastAsia="仿宋_GB2312" w:hAnsi="Times New Roman"/>
          <w:sz w:val="32"/>
          <w:szCs w:val="32"/>
        </w:rPr>
        <w:t>21904</w:t>
      </w:r>
      <w:r>
        <w:rPr>
          <w:rFonts w:ascii="Times New Roman" w:eastAsia="仿宋_GB2312" w:hAnsi="Times New Roman"/>
          <w:sz w:val="32"/>
          <w:szCs w:val="32"/>
        </w:rPr>
        <w:t>）</w:t>
      </w:r>
      <w:r>
        <w:rPr>
          <w:rFonts w:ascii="Times New Roman" w:eastAsia="仿宋_GB2312" w:hAnsi="Times New Roman" w:hint="eastAsia"/>
          <w:sz w:val="32"/>
          <w:szCs w:val="32"/>
        </w:rPr>
        <w:t>、</w:t>
      </w:r>
      <w:r>
        <w:rPr>
          <w:rFonts w:ascii="Times New Roman" w:eastAsia="仿宋_GB2312" w:hAnsi="Times New Roman"/>
          <w:sz w:val="32"/>
          <w:szCs w:val="32"/>
        </w:rPr>
        <w:t>《发酵类制药工业水污染物排放标准》（</w:t>
      </w:r>
      <w:r>
        <w:rPr>
          <w:rFonts w:ascii="Times New Roman" w:eastAsia="仿宋_GB2312" w:hAnsi="Times New Roman"/>
          <w:sz w:val="32"/>
          <w:szCs w:val="32"/>
        </w:rPr>
        <w:t>GB</w:t>
      </w:r>
      <w:r>
        <w:rPr>
          <w:rFonts w:ascii="Times New Roman" w:eastAsia="仿宋_GB2312" w:hAnsi="Times New Roman" w:hint="eastAsia"/>
          <w:sz w:val="32"/>
          <w:szCs w:val="32"/>
        </w:rPr>
        <w:t xml:space="preserve"> </w:t>
      </w:r>
      <w:r>
        <w:rPr>
          <w:rFonts w:ascii="Times New Roman" w:eastAsia="仿宋_GB2312" w:hAnsi="Times New Roman"/>
          <w:sz w:val="32"/>
          <w:szCs w:val="32"/>
        </w:rPr>
        <w:t>21093</w:t>
      </w:r>
      <w:r>
        <w:rPr>
          <w:rFonts w:ascii="Times New Roman" w:eastAsia="仿宋_GB2312" w:hAnsi="Times New Roman"/>
          <w:sz w:val="32"/>
          <w:szCs w:val="32"/>
        </w:rPr>
        <w:t>）</w:t>
      </w:r>
      <w:r>
        <w:rPr>
          <w:rFonts w:ascii="Times New Roman" w:eastAsia="仿宋_GB2312" w:hAnsi="Times New Roman" w:hint="eastAsia"/>
          <w:sz w:val="32"/>
          <w:szCs w:val="32"/>
        </w:rPr>
        <w:t>和《</w:t>
      </w:r>
      <w:hyperlink r:id="rId7" w:history="1">
        <w:r>
          <w:rPr>
            <w:rFonts w:ascii="Times New Roman" w:eastAsia="仿宋_GB2312" w:hAnsi="Times New Roman" w:hint="eastAsia"/>
            <w:sz w:val="32"/>
            <w:szCs w:val="32"/>
          </w:rPr>
          <w:t>生物工程类制药工业水污染物排放标准</w:t>
        </w:r>
        <w:r>
          <w:rPr>
            <w:rFonts w:ascii="Times New Roman" w:eastAsia="仿宋_GB2312" w:hAnsi="Times New Roman"/>
            <w:sz w:val="32"/>
            <w:szCs w:val="32"/>
          </w:rPr>
          <w:t> </w:t>
        </w:r>
      </w:hyperlink>
      <w:r>
        <w:rPr>
          <w:rFonts w:ascii="Times New Roman" w:eastAsia="仿宋_GB2312" w:hAnsi="Times New Roman" w:hint="eastAsia"/>
          <w:sz w:val="32"/>
          <w:szCs w:val="32"/>
        </w:rPr>
        <w:t>》（</w:t>
      </w:r>
      <w:r>
        <w:rPr>
          <w:rFonts w:ascii="Times New Roman" w:eastAsia="仿宋_GB2312" w:hAnsi="Times New Roman" w:hint="eastAsia"/>
          <w:sz w:val="32"/>
          <w:szCs w:val="32"/>
        </w:rPr>
        <w:t>GB 21907</w:t>
      </w:r>
      <w:r>
        <w:rPr>
          <w:rFonts w:ascii="Times New Roman" w:eastAsia="仿宋_GB2312" w:hAnsi="Times New Roman" w:hint="eastAsia"/>
          <w:sz w:val="32"/>
          <w:szCs w:val="32"/>
        </w:rPr>
        <w:t>）</w:t>
      </w:r>
      <w:r>
        <w:rPr>
          <w:rFonts w:ascii="Times New Roman" w:eastAsia="仿宋_GB2312" w:hAnsi="Times New Roman"/>
          <w:sz w:val="32"/>
          <w:szCs w:val="32"/>
        </w:rPr>
        <w:t>等要求。各产品排污系数要低于《化学合成类制药工业水污染物排放标准》（</w:t>
      </w:r>
      <w:r>
        <w:rPr>
          <w:rFonts w:ascii="Times New Roman" w:eastAsia="仿宋_GB2312" w:hAnsi="Times New Roman"/>
          <w:sz w:val="32"/>
          <w:szCs w:val="32"/>
        </w:rPr>
        <w:t>GB</w:t>
      </w:r>
      <w:r>
        <w:rPr>
          <w:rFonts w:ascii="Times New Roman" w:eastAsia="仿宋_GB2312" w:hAnsi="Times New Roman" w:hint="eastAsia"/>
          <w:sz w:val="32"/>
          <w:szCs w:val="32"/>
        </w:rPr>
        <w:t xml:space="preserve"> </w:t>
      </w:r>
      <w:r>
        <w:rPr>
          <w:rFonts w:ascii="Times New Roman" w:eastAsia="仿宋_GB2312" w:hAnsi="Times New Roman"/>
          <w:sz w:val="32"/>
          <w:szCs w:val="32"/>
        </w:rPr>
        <w:t>21904</w:t>
      </w:r>
      <w:r>
        <w:rPr>
          <w:rFonts w:ascii="Times New Roman" w:eastAsia="仿宋_GB2312" w:hAnsi="Times New Roman"/>
          <w:sz w:val="32"/>
          <w:szCs w:val="32"/>
        </w:rPr>
        <w:t>）和《发酵类制药工业水污染物排放标准》（</w:t>
      </w:r>
      <w:r>
        <w:rPr>
          <w:rFonts w:ascii="Times New Roman" w:eastAsia="仿宋_GB2312" w:hAnsi="Times New Roman"/>
          <w:sz w:val="32"/>
          <w:szCs w:val="32"/>
        </w:rPr>
        <w:t>GB</w:t>
      </w:r>
      <w:r>
        <w:rPr>
          <w:rFonts w:ascii="Times New Roman" w:eastAsia="仿宋_GB2312" w:hAnsi="Times New Roman" w:hint="eastAsia"/>
          <w:sz w:val="32"/>
          <w:szCs w:val="32"/>
        </w:rPr>
        <w:t xml:space="preserve"> </w:t>
      </w:r>
      <w:r>
        <w:rPr>
          <w:rFonts w:ascii="Times New Roman" w:eastAsia="仿宋_GB2312" w:hAnsi="Times New Roman"/>
          <w:sz w:val="32"/>
          <w:szCs w:val="32"/>
        </w:rPr>
        <w:t>21093</w:t>
      </w:r>
      <w:r>
        <w:rPr>
          <w:rFonts w:ascii="Times New Roman" w:eastAsia="仿宋_GB2312" w:hAnsi="Times New Roman"/>
          <w:sz w:val="32"/>
          <w:szCs w:val="32"/>
        </w:rPr>
        <w:t>）中的单</w:t>
      </w:r>
      <w:r>
        <w:rPr>
          <w:rFonts w:ascii="Times New Roman" w:eastAsia="仿宋_GB2312" w:hAnsi="Times New Roman"/>
          <w:sz w:val="32"/>
          <w:szCs w:val="32"/>
        </w:rPr>
        <w:lastRenderedPageBreak/>
        <w:t>位产品基准排水量相关要求（详见附表），并</w:t>
      </w:r>
      <w:r>
        <w:rPr>
          <w:rFonts w:ascii="Times New Roman" w:eastAsia="仿宋_GB2312" w:hAnsi="Times New Roman" w:hint="eastAsia"/>
          <w:sz w:val="32"/>
          <w:szCs w:val="32"/>
        </w:rPr>
        <w:t>鼓励按照</w:t>
      </w:r>
      <w:r>
        <w:rPr>
          <w:rFonts w:ascii="Times New Roman" w:eastAsia="仿宋_GB2312" w:hAnsi="Times New Roman"/>
          <w:sz w:val="32"/>
          <w:szCs w:val="32"/>
        </w:rPr>
        <w:t>削减</w:t>
      </w:r>
      <w:r>
        <w:rPr>
          <w:rFonts w:ascii="Times New Roman" w:eastAsia="仿宋_GB2312" w:hAnsi="Times New Roman"/>
          <w:sz w:val="32"/>
          <w:szCs w:val="32"/>
        </w:rPr>
        <w:t>10%</w:t>
      </w:r>
      <w:r>
        <w:rPr>
          <w:rFonts w:ascii="Times New Roman" w:eastAsia="仿宋_GB2312" w:hAnsi="Times New Roman"/>
          <w:sz w:val="32"/>
          <w:szCs w:val="32"/>
        </w:rPr>
        <w:t>以上的要求进行控制。</w:t>
      </w:r>
    </w:p>
    <w:p w:rsidR="000D152C" w:rsidRDefault="00831701">
      <w:pPr>
        <w:pStyle w:val="3"/>
        <w:spacing w:before="0" w:after="0" w:line="580" w:lineRule="exact"/>
        <w:ind w:firstLineChars="200" w:firstLine="643"/>
        <w:jc w:val="both"/>
        <w:rPr>
          <w:rFonts w:ascii="楷体_GB2312" w:eastAsia="楷体_GB2312" w:hAnsi="Times New Roman" w:cs="Times New Roman"/>
          <w:b/>
          <w:bCs/>
          <w:color w:val="000000" w:themeColor="text1"/>
          <w:kern w:val="0"/>
          <w14:ligatures w14:val="none"/>
        </w:rPr>
      </w:pPr>
      <w:r>
        <w:rPr>
          <w:rFonts w:ascii="楷体_GB2312" w:eastAsia="楷体_GB2312" w:hAnsi="Times New Roman" w:cs="Times New Roman" w:hint="eastAsia"/>
          <w:b/>
          <w:bCs/>
          <w:color w:val="000000" w:themeColor="text1"/>
          <w:kern w:val="0"/>
          <w14:ligatures w14:val="none"/>
        </w:rPr>
        <w:t>（二）</w:t>
      </w:r>
      <w:r>
        <w:rPr>
          <w:rFonts w:ascii="楷体_GB2312" w:eastAsia="楷体_GB2312" w:hAnsi="Times New Roman" w:cs="Times New Roman"/>
          <w:b/>
          <w:bCs/>
          <w:color w:val="000000" w:themeColor="text1"/>
          <w:kern w:val="0"/>
          <w14:ligatures w14:val="none"/>
        </w:rPr>
        <w:t xml:space="preserve"> 大气污染防治</w:t>
      </w:r>
      <w:r>
        <w:rPr>
          <w:rFonts w:ascii="楷体_GB2312" w:eastAsia="楷体_GB2312" w:hAnsi="Times New Roman" w:cs="Times New Roman" w:hint="eastAsia"/>
          <w:b/>
          <w:bCs/>
          <w:color w:val="000000" w:themeColor="text1"/>
          <w:kern w:val="0"/>
          <w14:ligatures w14:val="none"/>
        </w:rPr>
        <w:t>措施</w:t>
      </w:r>
    </w:p>
    <w:p w:rsidR="000D152C" w:rsidRDefault="00831701">
      <w:pPr>
        <w:adjustRightInd w:val="0"/>
        <w:snapToGrid w:val="0"/>
        <w:spacing w:after="0" w:line="58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鼓励采用密闭一体化生产技术，对生产过程中产生的废气进行分类收集和处理。对于涉及</w:t>
      </w:r>
      <w:r>
        <w:rPr>
          <w:rFonts w:ascii="Times New Roman" w:eastAsia="仿宋_GB2312" w:hAnsi="Times New Roman"/>
          <w:sz w:val="32"/>
          <w:szCs w:val="32"/>
        </w:rPr>
        <w:t xml:space="preserve">VOCs </w:t>
      </w:r>
      <w:r>
        <w:rPr>
          <w:rFonts w:ascii="Times New Roman" w:eastAsia="仿宋_GB2312" w:hAnsi="Times New Roman"/>
          <w:sz w:val="32"/>
          <w:szCs w:val="32"/>
        </w:rPr>
        <w:t>的物料储存设施、生产设备、敞开液面等无组织排放源，应按照《制药工业大气污染物排放标准》（</w:t>
      </w:r>
      <w:r>
        <w:rPr>
          <w:rFonts w:ascii="Times New Roman" w:eastAsia="仿宋_GB2312" w:hAnsi="Times New Roman"/>
          <w:sz w:val="32"/>
          <w:szCs w:val="32"/>
        </w:rPr>
        <w:t>GB37823</w:t>
      </w:r>
      <w:r>
        <w:rPr>
          <w:rFonts w:ascii="Times New Roman" w:eastAsia="仿宋_GB2312" w:hAnsi="Times New Roman"/>
          <w:sz w:val="32"/>
          <w:szCs w:val="32"/>
        </w:rPr>
        <w:t>）的要求采取相应的污染防治措施。</w:t>
      </w:r>
    </w:p>
    <w:p w:rsidR="000D152C" w:rsidRDefault="00831701">
      <w:pPr>
        <w:adjustRightInd w:val="0"/>
        <w:snapToGrid w:val="0"/>
        <w:spacing w:after="0" w:line="58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采取分类、适用技术处理各类废气污染物。酸</w:t>
      </w:r>
      <w:r>
        <w:rPr>
          <w:rFonts w:ascii="Times New Roman" w:eastAsia="仿宋_GB2312" w:hAnsi="Times New Roman"/>
          <w:sz w:val="32"/>
          <w:szCs w:val="32"/>
        </w:rPr>
        <w:t>/</w:t>
      </w:r>
      <w:r>
        <w:rPr>
          <w:rFonts w:ascii="Times New Roman" w:eastAsia="仿宋_GB2312" w:hAnsi="Times New Roman"/>
          <w:sz w:val="32"/>
          <w:szCs w:val="32"/>
        </w:rPr>
        <w:t>碱性废气可采用多级水吸收、碱</w:t>
      </w:r>
      <w:r>
        <w:rPr>
          <w:rFonts w:ascii="Times New Roman" w:eastAsia="仿宋_GB2312" w:hAnsi="Times New Roman"/>
          <w:sz w:val="32"/>
          <w:szCs w:val="32"/>
        </w:rPr>
        <w:t>/</w:t>
      </w:r>
      <w:r>
        <w:rPr>
          <w:rFonts w:ascii="Times New Roman" w:eastAsia="仿宋_GB2312" w:hAnsi="Times New Roman"/>
          <w:sz w:val="32"/>
          <w:szCs w:val="32"/>
        </w:rPr>
        <w:t>酸吸收，氮氧化物废气宜采用还原吸收工艺；有机废气应有</w:t>
      </w:r>
      <w:proofErr w:type="gramStart"/>
      <w:r>
        <w:rPr>
          <w:rFonts w:ascii="Times New Roman" w:eastAsia="仿宋_GB2312" w:hAnsi="Times New Roman"/>
          <w:sz w:val="32"/>
          <w:szCs w:val="32"/>
        </w:rPr>
        <w:t>效</w:t>
      </w:r>
      <w:proofErr w:type="gramEnd"/>
      <w:r>
        <w:rPr>
          <w:rFonts w:ascii="Times New Roman" w:eastAsia="仿宋_GB2312" w:hAnsi="Times New Roman"/>
          <w:sz w:val="32"/>
          <w:szCs w:val="32"/>
        </w:rPr>
        <w:t>收集并根据其特性采取焚烧、吸收、吸附或其它先进适用的处理技术；粉尘类废气应采用布袋除尘或以布袋除尘为核心的组合工艺等有效处理技术处理，确保排气筒与厂界污染物排放</w:t>
      </w:r>
      <w:r>
        <w:rPr>
          <w:rFonts w:ascii="Times New Roman" w:eastAsia="仿宋_GB2312" w:hAnsi="Times New Roman" w:hint="eastAsia"/>
          <w:sz w:val="32"/>
          <w:szCs w:val="32"/>
        </w:rPr>
        <w:t>达到国家和地方规定的控制标准限值要求。</w:t>
      </w:r>
      <w:r>
        <w:rPr>
          <w:rFonts w:ascii="Times New Roman" w:eastAsia="仿宋_GB2312" w:hAnsi="Times New Roman"/>
          <w:sz w:val="32"/>
          <w:szCs w:val="32"/>
        </w:rPr>
        <w:t>加强恶臭治理，对周边敏感目标产生异味影响的建设项目，应在确保排放达标基础上，进一步强化恶臭控制措施</w:t>
      </w:r>
      <w:r>
        <w:rPr>
          <w:rFonts w:ascii="Times New Roman" w:eastAsia="仿宋_GB2312" w:hAnsi="Times New Roman" w:hint="eastAsia"/>
          <w:sz w:val="32"/>
          <w:szCs w:val="32"/>
        </w:rPr>
        <w:t>。</w:t>
      </w:r>
    </w:p>
    <w:p w:rsidR="000D152C" w:rsidRDefault="00831701">
      <w:pPr>
        <w:adjustRightInd w:val="0"/>
        <w:snapToGrid w:val="0"/>
        <w:spacing w:after="0" w:line="58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鼓励企业对泵、压缩机、阀门、法兰等易发生泄漏的设备与管线组件，制定泄漏检测与修复（</w:t>
      </w:r>
      <w:r>
        <w:rPr>
          <w:rFonts w:ascii="Times New Roman" w:eastAsia="仿宋_GB2312" w:hAnsi="Times New Roman"/>
          <w:sz w:val="32"/>
          <w:szCs w:val="32"/>
        </w:rPr>
        <w:t>LDAR</w:t>
      </w:r>
      <w:r>
        <w:rPr>
          <w:rFonts w:ascii="Times New Roman" w:eastAsia="仿宋_GB2312" w:hAnsi="Times New Roman"/>
          <w:sz w:val="32"/>
          <w:szCs w:val="32"/>
        </w:rPr>
        <w:t>）计划，定期检测、及时修复，防止或减少跑、冒、滴、漏现象。</w:t>
      </w:r>
    </w:p>
    <w:p w:rsidR="000D152C" w:rsidRDefault="00831701">
      <w:pPr>
        <w:pStyle w:val="3"/>
        <w:spacing w:before="0" w:after="0" w:line="580" w:lineRule="exact"/>
        <w:ind w:firstLineChars="200" w:firstLine="643"/>
        <w:jc w:val="both"/>
        <w:rPr>
          <w:rFonts w:ascii="楷体_GB2312" w:eastAsia="楷体_GB2312" w:hAnsi="Times New Roman" w:cs="Times New Roman"/>
          <w:b/>
          <w:bCs/>
          <w:color w:val="000000" w:themeColor="text1"/>
          <w:kern w:val="0"/>
          <w14:ligatures w14:val="none"/>
        </w:rPr>
      </w:pPr>
      <w:r>
        <w:rPr>
          <w:rFonts w:ascii="楷体_GB2312" w:eastAsia="楷体_GB2312" w:hAnsi="Times New Roman" w:cs="Times New Roman" w:hint="eastAsia"/>
          <w:b/>
          <w:bCs/>
          <w:color w:val="000000" w:themeColor="text1"/>
          <w:kern w:val="0"/>
          <w14:ligatures w14:val="none"/>
        </w:rPr>
        <w:t>（三）</w:t>
      </w:r>
      <w:r>
        <w:rPr>
          <w:rFonts w:ascii="楷体_GB2312" w:eastAsia="楷体_GB2312" w:hAnsi="Times New Roman" w:cs="Times New Roman"/>
          <w:b/>
          <w:bCs/>
          <w:color w:val="000000" w:themeColor="text1"/>
          <w:kern w:val="0"/>
          <w14:ligatures w14:val="none"/>
        </w:rPr>
        <w:t xml:space="preserve"> 土壤及地下水污染防治</w:t>
      </w:r>
      <w:r>
        <w:rPr>
          <w:rFonts w:ascii="楷体_GB2312" w:eastAsia="楷体_GB2312" w:hAnsi="Times New Roman" w:cs="Times New Roman" w:hint="eastAsia"/>
          <w:b/>
          <w:bCs/>
          <w:color w:val="000000" w:themeColor="text1"/>
          <w:kern w:val="0"/>
          <w14:ligatures w14:val="none"/>
        </w:rPr>
        <w:t>措施</w:t>
      </w:r>
    </w:p>
    <w:p w:rsidR="000D152C" w:rsidRDefault="00831701">
      <w:pPr>
        <w:adjustRightInd w:val="0"/>
        <w:snapToGrid w:val="0"/>
        <w:spacing w:after="0" w:line="58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按照“源头控制、分区防控、污染监控”的原则确定防治措施。</w:t>
      </w:r>
    </w:p>
    <w:p w:rsidR="000D152C" w:rsidRDefault="00831701">
      <w:pPr>
        <w:adjustRightInd w:val="0"/>
        <w:snapToGrid w:val="0"/>
        <w:spacing w:after="0" w:line="58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涉及有毒有害物质的生产装置、储存场所、储罐和管道、</w:t>
      </w:r>
      <w:r>
        <w:rPr>
          <w:rFonts w:ascii="Times New Roman" w:eastAsia="仿宋_GB2312" w:hAnsi="Times New Roman" w:hint="eastAsia"/>
          <w:sz w:val="32"/>
          <w:szCs w:val="32"/>
        </w:rPr>
        <w:lastRenderedPageBreak/>
        <w:t>污水处理池、应急池、固体废物贮存场所等，应当采取有效措施，防止有毒有害物质渗漏、流失、扬散，避免土壤和地下水受到污染。输送有毒有害物质和工艺废水的管线须采用地上明管或架空敷设的方式，设计、建设和安装有关防腐蚀、防泄漏设施和泄漏监测装置。</w:t>
      </w:r>
    </w:p>
    <w:p w:rsidR="000D152C" w:rsidRDefault="00831701">
      <w:pPr>
        <w:adjustRightInd w:val="0"/>
        <w:snapToGrid w:val="0"/>
        <w:spacing w:after="0" w:line="58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制药企业应列为或参照土壤环境污染重点监管单位进行管理，按照相关要求定期开展厂区及周边环境的土壤和地下水监测，并建立污染隐患排查治理制度。</w:t>
      </w:r>
    </w:p>
    <w:p w:rsidR="000D152C" w:rsidRDefault="00831701">
      <w:pPr>
        <w:pStyle w:val="3"/>
        <w:spacing w:before="0" w:after="0" w:line="580" w:lineRule="exact"/>
        <w:ind w:firstLineChars="200" w:firstLine="643"/>
        <w:jc w:val="both"/>
        <w:rPr>
          <w:rFonts w:ascii="楷体_GB2312" w:eastAsia="楷体_GB2312" w:hAnsi="Times New Roman" w:cs="Times New Roman"/>
          <w:b/>
          <w:bCs/>
          <w:color w:val="000000" w:themeColor="text1"/>
          <w:kern w:val="0"/>
          <w14:ligatures w14:val="none"/>
        </w:rPr>
      </w:pPr>
      <w:r>
        <w:rPr>
          <w:rFonts w:ascii="楷体_GB2312" w:eastAsia="楷体_GB2312" w:hAnsi="Times New Roman" w:cs="Times New Roman" w:hint="eastAsia"/>
          <w:b/>
          <w:bCs/>
          <w:color w:val="000000" w:themeColor="text1"/>
          <w:kern w:val="0"/>
          <w14:ligatures w14:val="none"/>
        </w:rPr>
        <w:t>（四）</w:t>
      </w:r>
      <w:r>
        <w:rPr>
          <w:rFonts w:ascii="楷体_GB2312" w:eastAsia="楷体_GB2312" w:hAnsi="Times New Roman" w:cs="Times New Roman"/>
          <w:b/>
          <w:bCs/>
          <w:color w:val="000000" w:themeColor="text1"/>
          <w:kern w:val="0"/>
          <w14:ligatures w14:val="none"/>
        </w:rPr>
        <w:t>固体废物污染防治</w:t>
      </w:r>
      <w:r>
        <w:rPr>
          <w:rFonts w:ascii="楷体_GB2312" w:eastAsia="楷体_GB2312" w:hAnsi="Times New Roman" w:cs="Times New Roman" w:hint="eastAsia"/>
          <w:b/>
          <w:bCs/>
          <w:color w:val="000000" w:themeColor="text1"/>
          <w:kern w:val="0"/>
          <w14:ligatures w14:val="none"/>
        </w:rPr>
        <w:t>措施</w:t>
      </w:r>
    </w:p>
    <w:p w:rsidR="000D152C" w:rsidRDefault="00831701">
      <w:pPr>
        <w:adjustRightInd w:val="0"/>
        <w:snapToGrid w:val="0"/>
        <w:spacing w:after="0" w:line="58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根据“资源化、减量化、无害化”的原则，对固体废物进行分类收集、规范处置。鼓励企业通过改进工艺等方式减少固体废物的产生，并在符合相关政策标准的前提下积极开展固体废物的综合利用。制药行业建设项目应要落实固体废物综合利用主体责任，明确综合利用措施并按照国家和自治区相关要求落实综合利用率指标。鼓励高盐废水分类收集、</w:t>
      </w:r>
      <w:proofErr w:type="gramStart"/>
      <w:r>
        <w:rPr>
          <w:rFonts w:ascii="Times New Roman" w:eastAsia="仿宋_GB2312" w:hAnsi="Times New Roman" w:hint="eastAsia"/>
          <w:sz w:val="32"/>
          <w:szCs w:val="32"/>
        </w:rPr>
        <w:t>提盐后</w:t>
      </w:r>
      <w:proofErr w:type="gramEnd"/>
      <w:r>
        <w:rPr>
          <w:rFonts w:ascii="Times New Roman" w:eastAsia="仿宋_GB2312" w:hAnsi="Times New Roman" w:hint="eastAsia"/>
          <w:sz w:val="32"/>
          <w:szCs w:val="32"/>
        </w:rPr>
        <w:t>分质预处理，降低废盐产生量和危害性，鼓励废盐资源化利用。资源化产物应按照《固体废物鉴别标准</w:t>
      </w:r>
      <w:r>
        <w:rPr>
          <w:rFonts w:ascii="Times New Roman" w:eastAsia="仿宋_GB2312" w:hAnsi="Times New Roman"/>
          <w:sz w:val="32"/>
          <w:szCs w:val="32"/>
        </w:rPr>
        <w:t xml:space="preserve"> </w:t>
      </w:r>
      <w:r>
        <w:rPr>
          <w:rFonts w:ascii="Times New Roman" w:eastAsia="仿宋_GB2312" w:hAnsi="Times New Roman"/>
          <w:sz w:val="32"/>
          <w:szCs w:val="32"/>
        </w:rPr>
        <w:t>通则》（</w:t>
      </w:r>
      <w:r>
        <w:rPr>
          <w:rFonts w:ascii="Times New Roman" w:eastAsia="仿宋_GB2312" w:hAnsi="Times New Roman"/>
          <w:sz w:val="32"/>
          <w:szCs w:val="32"/>
        </w:rPr>
        <w:t>GB 34330</w:t>
      </w:r>
      <w:r>
        <w:rPr>
          <w:rFonts w:ascii="Times New Roman" w:eastAsia="仿宋_GB2312" w:hAnsi="Times New Roman"/>
          <w:sz w:val="32"/>
          <w:szCs w:val="32"/>
        </w:rPr>
        <w:t>）开展属性鉴别，并根据鉴别结果进行管理。</w:t>
      </w:r>
    </w:p>
    <w:p w:rsidR="000D152C" w:rsidRDefault="00831701">
      <w:pPr>
        <w:adjustRightInd w:val="0"/>
        <w:snapToGrid w:val="0"/>
        <w:spacing w:after="0" w:line="58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严格执行《国家危险废物名录》，对未列入《名录》不能排除危险特性且未经鉴别的固体废物，从严按照危险废物进行妥善贮存和处置。危险废物产生企业厂内必须设置危险废物贮存设施，贮存设施的选址设计及运行管理须严格遵守《危险废物贮存污染控制标准》有关要求。企业自</w:t>
      </w:r>
      <w:proofErr w:type="gramStart"/>
      <w:r>
        <w:rPr>
          <w:rFonts w:ascii="Times New Roman" w:eastAsia="仿宋_GB2312" w:hAnsi="Times New Roman" w:hint="eastAsia"/>
          <w:sz w:val="32"/>
          <w:szCs w:val="32"/>
        </w:rPr>
        <w:t>建危险</w:t>
      </w:r>
      <w:proofErr w:type="gramEnd"/>
      <w:r>
        <w:rPr>
          <w:rFonts w:ascii="Times New Roman" w:eastAsia="仿宋_GB2312" w:hAnsi="Times New Roman" w:hint="eastAsia"/>
          <w:sz w:val="32"/>
          <w:szCs w:val="32"/>
        </w:rPr>
        <w:t>废物焚烧装置的，焚烧装置污染物排放须满足《危险废物焚烧</w:t>
      </w:r>
      <w:r>
        <w:rPr>
          <w:rFonts w:ascii="Times New Roman" w:eastAsia="仿宋_GB2312" w:hAnsi="Times New Roman" w:hint="eastAsia"/>
          <w:sz w:val="32"/>
          <w:szCs w:val="32"/>
        </w:rPr>
        <w:lastRenderedPageBreak/>
        <w:t>污染控制标准》有关要求。危险废物的转移、处置和综合利用须遵守国家、自治区相关规定。</w:t>
      </w:r>
    </w:p>
    <w:p w:rsidR="000D152C" w:rsidRDefault="00831701">
      <w:pPr>
        <w:adjustRightInd w:val="0"/>
        <w:snapToGrid w:val="0"/>
        <w:spacing w:after="0" w:line="58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危险废物和一般工业固体废物贮存和处置应符合《危险废物贮存污染控制标准》（</w:t>
      </w:r>
      <w:r>
        <w:rPr>
          <w:rFonts w:ascii="Times New Roman" w:eastAsia="仿宋_GB2312" w:hAnsi="Times New Roman"/>
          <w:sz w:val="32"/>
          <w:szCs w:val="32"/>
        </w:rPr>
        <w:t>GB 18597</w:t>
      </w:r>
      <w:r>
        <w:rPr>
          <w:rFonts w:ascii="Times New Roman" w:eastAsia="仿宋_GB2312" w:hAnsi="Times New Roman"/>
          <w:sz w:val="32"/>
          <w:szCs w:val="32"/>
        </w:rPr>
        <w:t>）、《一般工业固体废物贮存和填埋污染控制标准》（</w:t>
      </w:r>
      <w:r>
        <w:rPr>
          <w:rFonts w:ascii="Times New Roman" w:eastAsia="仿宋_GB2312" w:hAnsi="Times New Roman"/>
          <w:sz w:val="32"/>
          <w:szCs w:val="32"/>
        </w:rPr>
        <w:t>GB 18599</w:t>
      </w:r>
      <w:r>
        <w:rPr>
          <w:rFonts w:ascii="Times New Roman" w:eastAsia="仿宋_GB2312" w:hAnsi="Times New Roman"/>
          <w:sz w:val="32"/>
          <w:szCs w:val="32"/>
        </w:rPr>
        <w:t>）等要求。</w:t>
      </w:r>
    </w:p>
    <w:p w:rsidR="000D152C" w:rsidRDefault="00831701">
      <w:pPr>
        <w:pStyle w:val="3"/>
        <w:spacing w:before="0" w:after="0" w:line="580" w:lineRule="exact"/>
        <w:ind w:firstLineChars="200" w:firstLine="643"/>
        <w:jc w:val="both"/>
        <w:rPr>
          <w:rFonts w:ascii="楷体_GB2312" w:eastAsia="楷体_GB2312" w:hAnsi="Times New Roman" w:cs="Times New Roman"/>
          <w:b/>
          <w:bCs/>
          <w:color w:val="000000" w:themeColor="text1"/>
          <w:kern w:val="0"/>
          <w14:ligatures w14:val="none"/>
        </w:rPr>
      </w:pPr>
      <w:r>
        <w:rPr>
          <w:rFonts w:ascii="楷体_GB2312" w:eastAsia="楷体_GB2312" w:hAnsi="Times New Roman" w:cs="Times New Roman" w:hint="eastAsia"/>
          <w:b/>
          <w:bCs/>
          <w:color w:val="000000" w:themeColor="text1"/>
          <w:kern w:val="0"/>
          <w14:ligatures w14:val="none"/>
        </w:rPr>
        <w:t>（五）</w:t>
      </w:r>
      <w:r>
        <w:rPr>
          <w:rFonts w:ascii="楷体_GB2312" w:eastAsia="楷体_GB2312" w:hAnsi="Times New Roman" w:cs="Times New Roman"/>
          <w:b/>
          <w:bCs/>
          <w:color w:val="000000" w:themeColor="text1"/>
          <w:kern w:val="0"/>
          <w14:ligatures w14:val="none"/>
        </w:rPr>
        <w:t>噪声污染防治</w:t>
      </w:r>
      <w:r>
        <w:rPr>
          <w:rFonts w:ascii="楷体_GB2312" w:eastAsia="楷体_GB2312" w:hAnsi="Times New Roman" w:cs="Times New Roman" w:hint="eastAsia"/>
          <w:b/>
          <w:bCs/>
          <w:color w:val="000000" w:themeColor="text1"/>
          <w:kern w:val="0"/>
          <w14:ligatures w14:val="none"/>
        </w:rPr>
        <w:t>措施</w:t>
      </w:r>
    </w:p>
    <w:p w:rsidR="000D152C" w:rsidRDefault="00831701">
      <w:pPr>
        <w:adjustRightInd w:val="0"/>
        <w:snapToGrid w:val="0"/>
        <w:spacing w:after="0" w:line="58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优化厂区平面布置，优先选用低噪声设备和工艺，采取减</w:t>
      </w:r>
      <w:r>
        <w:rPr>
          <w:rFonts w:ascii="Times New Roman" w:eastAsia="仿宋_GB2312" w:hAnsi="Times New Roman"/>
          <w:sz w:val="32"/>
          <w:szCs w:val="32"/>
        </w:rPr>
        <w:t xml:space="preserve"> </w:t>
      </w:r>
      <w:r>
        <w:rPr>
          <w:rFonts w:ascii="Times New Roman" w:eastAsia="仿宋_GB2312" w:hAnsi="Times New Roman"/>
          <w:sz w:val="32"/>
          <w:szCs w:val="32"/>
        </w:rPr>
        <w:t>振、隔声、消声等措施有效控制噪声污染，厂界噪声满足《工业企业厂界环境噪声排放标准》（</w:t>
      </w:r>
      <w:r>
        <w:rPr>
          <w:rFonts w:ascii="Times New Roman" w:eastAsia="仿宋_GB2312" w:hAnsi="Times New Roman"/>
          <w:sz w:val="32"/>
          <w:szCs w:val="32"/>
        </w:rPr>
        <w:t>GB 12348</w:t>
      </w:r>
      <w:r>
        <w:rPr>
          <w:rFonts w:ascii="Times New Roman" w:eastAsia="仿宋_GB2312" w:hAnsi="Times New Roman"/>
          <w:sz w:val="32"/>
          <w:szCs w:val="32"/>
        </w:rPr>
        <w:t>）要求。</w:t>
      </w:r>
    </w:p>
    <w:p w:rsidR="000D152C" w:rsidRDefault="00831701">
      <w:pPr>
        <w:pStyle w:val="2"/>
        <w:spacing w:before="0" w:after="0" w:line="580" w:lineRule="exact"/>
        <w:ind w:firstLineChars="200" w:firstLine="640"/>
        <w:jc w:val="both"/>
        <w:rPr>
          <w:rFonts w:ascii="黑体" w:eastAsia="黑体" w:hAnsi="黑体" w:cs="Times New Roman"/>
          <w:bCs/>
          <w:color w:val="000000" w:themeColor="text1"/>
          <w:sz w:val="32"/>
          <w:szCs w:val="32"/>
          <w14:ligatures w14:val="none"/>
        </w:rPr>
      </w:pPr>
      <w:r>
        <w:rPr>
          <w:rFonts w:ascii="黑体" w:eastAsia="黑体" w:hAnsi="黑体" w:cs="Times New Roman" w:hint="eastAsia"/>
          <w:bCs/>
          <w:color w:val="000000" w:themeColor="text1"/>
          <w:sz w:val="32"/>
          <w:szCs w:val="32"/>
          <w14:ligatures w14:val="none"/>
        </w:rPr>
        <w:t>五、</w:t>
      </w:r>
      <w:r>
        <w:rPr>
          <w:rFonts w:ascii="黑体" w:eastAsia="黑体" w:hAnsi="黑体" w:cs="Times New Roman"/>
          <w:bCs/>
          <w:color w:val="000000" w:themeColor="text1"/>
          <w:sz w:val="32"/>
          <w:szCs w:val="32"/>
          <w14:ligatures w14:val="none"/>
        </w:rPr>
        <w:t>环境风险</w:t>
      </w:r>
      <w:r>
        <w:rPr>
          <w:rFonts w:ascii="黑体" w:eastAsia="黑体" w:hAnsi="黑体" w:cs="Times New Roman" w:hint="eastAsia"/>
          <w:bCs/>
          <w:color w:val="000000" w:themeColor="text1"/>
          <w:sz w:val="32"/>
          <w:szCs w:val="32"/>
          <w14:ligatures w14:val="none"/>
        </w:rPr>
        <w:t>防范措施</w:t>
      </w:r>
    </w:p>
    <w:p w:rsidR="000D152C" w:rsidRDefault="00831701">
      <w:pPr>
        <w:adjustRightInd w:val="0"/>
        <w:snapToGrid w:val="0"/>
        <w:spacing w:after="0" w:line="58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应在满足安全设计生产的基础上，提出合理有效的污染治理和环境风险防范措施，严控项目环境风险。</w:t>
      </w:r>
      <w:r>
        <w:rPr>
          <w:rFonts w:ascii="Times New Roman" w:eastAsia="仿宋_GB2312" w:hAnsi="Times New Roman"/>
          <w:sz w:val="32"/>
          <w:szCs w:val="32"/>
        </w:rPr>
        <w:t>必须设置事故池贮存事故废水（含消防下水），事故池</w:t>
      </w:r>
      <w:proofErr w:type="gramStart"/>
      <w:r>
        <w:rPr>
          <w:rFonts w:ascii="Times New Roman" w:eastAsia="仿宋_GB2312" w:hAnsi="Times New Roman"/>
          <w:sz w:val="32"/>
          <w:szCs w:val="32"/>
        </w:rPr>
        <w:t>有效容积须可容纳</w:t>
      </w:r>
      <w:proofErr w:type="gramEnd"/>
      <w:r>
        <w:rPr>
          <w:rFonts w:ascii="Times New Roman" w:eastAsia="仿宋_GB2312" w:hAnsi="Times New Roman"/>
          <w:sz w:val="32"/>
          <w:szCs w:val="32"/>
        </w:rPr>
        <w:t>最大事故状态所产生的废水量。事故</w:t>
      </w:r>
      <w:proofErr w:type="gramStart"/>
      <w:r>
        <w:rPr>
          <w:rFonts w:ascii="Times New Roman" w:eastAsia="仿宋_GB2312" w:hAnsi="Times New Roman"/>
          <w:sz w:val="32"/>
          <w:szCs w:val="32"/>
        </w:rPr>
        <w:t>池宜采取地下式</w:t>
      </w:r>
      <w:proofErr w:type="gramEnd"/>
      <w:r>
        <w:rPr>
          <w:rFonts w:ascii="Times New Roman" w:eastAsia="仿宋_GB2312" w:hAnsi="Times New Roman"/>
          <w:sz w:val="32"/>
          <w:szCs w:val="32"/>
        </w:rPr>
        <w:t>并布置在厂区地势最低处，事故源切断应分别设置手、自动系统。事故废水须进行有效监控和处理，防止事故废水直接外排。</w:t>
      </w:r>
    </w:p>
    <w:p w:rsidR="000D152C" w:rsidRDefault="00831701">
      <w:pPr>
        <w:adjustRightInd w:val="0"/>
        <w:snapToGrid w:val="0"/>
        <w:spacing w:after="0" w:line="58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必须建立环境风险防控体系</w:t>
      </w:r>
      <w:r>
        <w:rPr>
          <w:rFonts w:ascii="Times New Roman" w:eastAsia="仿宋_GB2312" w:hAnsi="Times New Roman"/>
          <w:sz w:val="32"/>
          <w:szCs w:val="32"/>
        </w:rPr>
        <w:t>，制定有效的环境风险事故应急预案并及时更新，配备满足要求的环境风险防范措施和应急设施，定期开展演练，构建与当地政府和相关部门以及周边企业、园区相衔接的区域环境风险联防联控机制。</w:t>
      </w:r>
    </w:p>
    <w:p w:rsidR="000D152C" w:rsidRDefault="00831701">
      <w:pPr>
        <w:pStyle w:val="2"/>
        <w:spacing w:before="0" w:after="0" w:line="580" w:lineRule="exact"/>
        <w:ind w:firstLineChars="200" w:firstLine="640"/>
        <w:jc w:val="both"/>
        <w:rPr>
          <w:rFonts w:ascii="黑体" w:eastAsia="黑体" w:hAnsi="黑体" w:cs="Times New Roman"/>
          <w:bCs/>
          <w:color w:val="000000" w:themeColor="text1"/>
          <w:sz w:val="32"/>
          <w:szCs w:val="32"/>
          <w14:ligatures w14:val="none"/>
        </w:rPr>
      </w:pPr>
      <w:r>
        <w:rPr>
          <w:rFonts w:ascii="黑体" w:eastAsia="黑体" w:hAnsi="黑体" w:cs="Times New Roman" w:hint="eastAsia"/>
          <w:bCs/>
          <w:color w:val="000000" w:themeColor="text1"/>
          <w:sz w:val="32"/>
          <w:szCs w:val="32"/>
          <w14:ligatures w14:val="none"/>
        </w:rPr>
        <w:t>六、</w:t>
      </w:r>
      <w:r>
        <w:rPr>
          <w:rFonts w:ascii="黑体" w:eastAsia="黑体" w:hAnsi="黑体" w:cs="Times New Roman"/>
          <w:bCs/>
          <w:color w:val="000000" w:themeColor="text1"/>
          <w:sz w:val="32"/>
          <w:szCs w:val="32"/>
          <w14:ligatures w14:val="none"/>
        </w:rPr>
        <w:t>新污染物管控</w:t>
      </w:r>
    </w:p>
    <w:p w:rsidR="000D152C" w:rsidRDefault="00831701">
      <w:pPr>
        <w:adjustRightInd w:val="0"/>
        <w:snapToGrid w:val="0"/>
        <w:spacing w:after="0" w:line="58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严格落实《重点管控新污染物清单</w:t>
      </w:r>
      <w:r>
        <w:rPr>
          <w:rFonts w:ascii="Times New Roman" w:eastAsia="仿宋_GB2312" w:hAnsi="Times New Roman"/>
          <w:sz w:val="32"/>
          <w:szCs w:val="32"/>
        </w:rPr>
        <w:t>》及《宁夏回族自治区重点管控新污染物补充清单》管控要求，严格控制新污染物的产生与排放，按照重点</w:t>
      </w:r>
      <w:proofErr w:type="gramStart"/>
      <w:r>
        <w:rPr>
          <w:rFonts w:ascii="Times New Roman" w:eastAsia="仿宋_GB2312" w:hAnsi="Times New Roman"/>
          <w:sz w:val="32"/>
          <w:szCs w:val="32"/>
        </w:rPr>
        <w:t>管控新污染物</w:t>
      </w:r>
      <w:proofErr w:type="gramEnd"/>
      <w:r>
        <w:rPr>
          <w:rFonts w:ascii="Times New Roman" w:eastAsia="仿宋_GB2312" w:hAnsi="Times New Roman"/>
          <w:sz w:val="32"/>
          <w:szCs w:val="32"/>
        </w:rPr>
        <w:t>清单要求，采取禁</w:t>
      </w:r>
      <w:r>
        <w:rPr>
          <w:rFonts w:ascii="Times New Roman" w:eastAsia="仿宋_GB2312" w:hAnsi="Times New Roman"/>
          <w:sz w:val="32"/>
          <w:szCs w:val="32"/>
        </w:rPr>
        <w:lastRenderedPageBreak/>
        <w:t>止、限制、限排等环境风险管控措施。</w:t>
      </w:r>
    </w:p>
    <w:p w:rsidR="000D152C" w:rsidRDefault="00831701">
      <w:pPr>
        <w:pStyle w:val="2"/>
        <w:spacing w:before="0" w:after="0" w:line="580" w:lineRule="exact"/>
        <w:ind w:firstLineChars="200" w:firstLine="640"/>
        <w:jc w:val="both"/>
        <w:rPr>
          <w:rFonts w:ascii="黑体" w:eastAsia="黑体" w:hAnsi="黑体" w:cs="Times New Roman"/>
          <w:bCs/>
          <w:color w:val="000000" w:themeColor="text1"/>
          <w:sz w:val="32"/>
          <w:szCs w:val="32"/>
          <w14:ligatures w14:val="none"/>
        </w:rPr>
      </w:pPr>
      <w:r>
        <w:rPr>
          <w:rFonts w:ascii="黑体" w:eastAsia="黑体" w:hAnsi="黑体" w:cs="Times New Roman" w:hint="eastAsia"/>
          <w:bCs/>
          <w:color w:val="000000" w:themeColor="text1"/>
          <w:sz w:val="32"/>
          <w:szCs w:val="32"/>
          <w14:ligatures w14:val="none"/>
        </w:rPr>
        <w:t>七、绿色低碳发展</w:t>
      </w:r>
    </w:p>
    <w:p w:rsidR="000D152C" w:rsidRDefault="00831701">
      <w:pPr>
        <w:adjustRightInd w:val="0"/>
        <w:snapToGrid w:val="0"/>
        <w:spacing w:after="0" w:line="58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（一）编制环境影响报告书的制药行业建设项目</w:t>
      </w:r>
      <w:proofErr w:type="gramStart"/>
      <w:r>
        <w:rPr>
          <w:rFonts w:ascii="Times New Roman" w:eastAsia="仿宋_GB2312" w:hAnsi="Times New Roman" w:hint="eastAsia"/>
          <w:sz w:val="32"/>
          <w:szCs w:val="32"/>
        </w:rPr>
        <w:t>须将碳排放</w:t>
      </w:r>
      <w:proofErr w:type="gramEnd"/>
      <w:r>
        <w:rPr>
          <w:rFonts w:ascii="Times New Roman" w:eastAsia="仿宋_GB2312" w:hAnsi="Times New Roman" w:hint="eastAsia"/>
          <w:sz w:val="32"/>
          <w:szCs w:val="32"/>
        </w:rPr>
        <w:t>评价内容纳入建设项目环境影响评价。推进减</w:t>
      </w:r>
      <w:proofErr w:type="gramStart"/>
      <w:r>
        <w:rPr>
          <w:rFonts w:ascii="Times New Roman" w:eastAsia="仿宋_GB2312" w:hAnsi="Times New Roman" w:hint="eastAsia"/>
          <w:sz w:val="32"/>
          <w:szCs w:val="32"/>
        </w:rPr>
        <w:t>污降碳</w:t>
      </w:r>
      <w:proofErr w:type="gramEnd"/>
      <w:r>
        <w:rPr>
          <w:rFonts w:ascii="Times New Roman" w:eastAsia="仿宋_GB2312" w:hAnsi="Times New Roman" w:hint="eastAsia"/>
          <w:sz w:val="32"/>
          <w:szCs w:val="32"/>
        </w:rPr>
        <w:t>协同增效，推动</w:t>
      </w:r>
      <w:proofErr w:type="gramStart"/>
      <w:r>
        <w:rPr>
          <w:rFonts w:ascii="Times New Roman" w:eastAsia="仿宋_GB2312" w:hAnsi="Times New Roman" w:hint="eastAsia"/>
          <w:sz w:val="32"/>
          <w:szCs w:val="32"/>
        </w:rPr>
        <w:t>减碳技术</w:t>
      </w:r>
      <w:proofErr w:type="gramEnd"/>
      <w:r>
        <w:rPr>
          <w:rFonts w:ascii="Times New Roman" w:eastAsia="仿宋_GB2312" w:hAnsi="Times New Roman" w:hint="eastAsia"/>
          <w:sz w:val="32"/>
          <w:szCs w:val="32"/>
        </w:rPr>
        <w:t>创新示范应用。</w:t>
      </w:r>
    </w:p>
    <w:p w:rsidR="000D152C" w:rsidRDefault="00831701">
      <w:pPr>
        <w:adjustRightInd w:val="0"/>
        <w:snapToGrid w:val="0"/>
        <w:spacing w:after="0" w:line="58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（二）生产各原辅料、中间产物、产品和排放的污染物中涉及《优先控制化学品名录》中所列物质的，应按照有关法律法规的要求，开展强制性清洁生产审核。新建制药行业</w:t>
      </w:r>
      <w:r>
        <w:rPr>
          <w:rFonts w:ascii="Times New Roman" w:eastAsia="仿宋_GB2312" w:hAnsi="Times New Roman"/>
          <w:sz w:val="32"/>
          <w:szCs w:val="32"/>
        </w:rPr>
        <w:t>建设项目</w:t>
      </w:r>
      <w:r>
        <w:rPr>
          <w:rFonts w:ascii="Times New Roman" w:eastAsia="仿宋_GB2312" w:hAnsi="Times New Roman" w:hint="eastAsia"/>
          <w:sz w:val="32"/>
          <w:szCs w:val="32"/>
        </w:rPr>
        <w:t>应达到国内清洁生产先进水平。</w:t>
      </w:r>
    </w:p>
    <w:p w:rsidR="000D152C" w:rsidRDefault="00831701">
      <w:pPr>
        <w:pStyle w:val="2"/>
        <w:spacing w:before="0" w:after="0" w:line="580" w:lineRule="exact"/>
        <w:ind w:firstLineChars="200" w:firstLine="640"/>
        <w:jc w:val="both"/>
        <w:rPr>
          <w:rFonts w:ascii="黑体" w:eastAsia="黑体" w:hAnsi="黑体" w:cs="Times New Roman"/>
          <w:bCs/>
          <w:color w:val="000000" w:themeColor="text1"/>
          <w:sz w:val="32"/>
          <w:szCs w:val="32"/>
          <w14:ligatures w14:val="none"/>
        </w:rPr>
      </w:pPr>
      <w:r>
        <w:rPr>
          <w:rFonts w:ascii="黑体" w:eastAsia="黑体" w:hAnsi="黑体" w:cs="Times New Roman" w:hint="eastAsia"/>
          <w:bCs/>
          <w:color w:val="000000" w:themeColor="text1"/>
          <w:sz w:val="32"/>
          <w:szCs w:val="32"/>
          <w14:ligatures w14:val="none"/>
        </w:rPr>
        <w:t>八、</w:t>
      </w:r>
      <w:r>
        <w:rPr>
          <w:rFonts w:ascii="黑体" w:eastAsia="黑体" w:hAnsi="黑体" w:cs="Times New Roman"/>
          <w:bCs/>
          <w:color w:val="000000" w:themeColor="text1"/>
          <w:sz w:val="32"/>
          <w:szCs w:val="32"/>
          <w14:ligatures w14:val="none"/>
        </w:rPr>
        <w:t>总量控制</w:t>
      </w:r>
    </w:p>
    <w:p w:rsidR="000D152C" w:rsidRDefault="00831701">
      <w:pPr>
        <w:adjustRightInd w:val="0"/>
        <w:snapToGrid w:val="0"/>
        <w:spacing w:after="0" w:line="58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制药行业</w:t>
      </w:r>
      <w:r>
        <w:rPr>
          <w:rFonts w:ascii="Times New Roman" w:eastAsia="仿宋_GB2312" w:hAnsi="Times New Roman"/>
          <w:sz w:val="32"/>
          <w:szCs w:val="32"/>
        </w:rPr>
        <w:t>建设项目必须符合国家及自治区总量管控要求，确保区域环境质量不降低。</w:t>
      </w:r>
    </w:p>
    <w:p w:rsidR="000D152C" w:rsidRDefault="00831701">
      <w:pPr>
        <w:adjustRightInd w:val="0"/>
        <w:snapToGrid w:val="0"/>
        <w:spacing w:after="0" w:line="58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属于宁夏回族自治区主要污染物排污</w:t>
      </w:r>
      <w:proofErr w:type="gramStart"/>
      <w:r>
        <w:rPr>
          <w:rFonts w:ascii="Times New Roman" w:eastAsia="仿宋_GB2312" w:hAnsi="Times New Roman" w:hint="eastAsia"/>
          <w:sz w:val="32"/>
          <w:szCs w:val="32"/>
        </w:rPr>
        <w:t>权指标</w:t>
      </w:r>
      <w:proofErr w:type="gramEnd"/>
      <w:r>
        <w:rPr>
          <w:rFonts w:ascii="Times New Roman" w:eastAsia="仿宋_GB2312" w:hAnsi="Times New Roman" w:hint="eastAsia"/>
          <w:sz w:val="32"/>
          <w:szCs w:val="32"/>
        </w:rPr>
        <w:t>的总量控制因子，应按照自治区排污权相关规定进行核定和有偿交易取得并纳入排污许可管理。</w:t>
      </w:r>
    </w:p>
    <w:p w:rsidR="000D152C" w:rsidRDefault="00831701">
      <w:pPr>
        <w:pStyle w:val="2"/>
        <w:spacing w:before="0" w:after="0" w:line="580" w:lineRule="exact"/>
        <w:ind w:firstLineChars="200" w:firstLine="640"/>
        <w:jc w:val="both"/>
        <w:rPr>
          <w:rFonts w:ascii="黑体" w:eastAsia="黑体" w:hAnsi="黑体" w:cs="Times New Roman"/>
          <w:bCs/>
          <w:color w:val="000000" w:themeColor="text1"/>
          <w:sz w:val="32"/>
          <w:szCs w:val="32"/>
          <w14:ligatures w14:val="none"/>
        </w:rPr>
      </w:pPr>
      <w:r>
        <w:rPr>
          <w:rFonts w:ascii="黑体" w:eastAsia="黑体" w:hAnsi="黑体" w:cs="Times New Roman" w:hint="eastAsia"/>
          <w:bCs/>
          <w:color w:val="000000" w:themeColor="text1"/>
          <w:sz w:val="32"/>
          <w:szCs w:val="32"/>
          <w14:ligatures w14:val="none"/>
        </w:rPr>
        <w:t>九、</w:t>
      </w:r>
      <w:r>
        <w:rPr>
          <w:rFonts w:ascii="黑体" w:eastAsia="黑体" w:hAnsi="黑体" w:cs="Times New Roman"/>
          <w:bCs/>
          <w:color w:val="000000" w:themeColor="text1"/>
          <w:sz w:val="32"/>
          <w:szCs w:val="32"/>
          <w14:ligatures w14:val="none"/>
        </w:rPr>
        <w:t>环境管理</w:t>
      </w:r>
    </w:p>
    <w:p w:rsidR="000D152C" w:rsidRDefault="00831701">
      <w:pPr>
        <w:adjustRightInd w:val="0"/>
        <w:snapToGrid w:val="0"/>
        <w:spacing w:after="0" w:line="58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应建设完备的生态环境管理制度和有效的环境管理体系，环保设施应具有良好的管理制度、操作规程，环境管理台帐应完善。</w:t>
      </w:r>
    </w:p>
    <w:p w:rsidR="000D152C" w:rsidRDefault="00831701">
      <w:pPr>
        <w:adjustRightInd w:val="0"/>
        <w:snapToGrid w:val="0"/>
        <w:spacing w:after="0" w:line="580" w:lineRule="exact"/>
        <w:ind w:firstLineChars="200" w:firstLine="640"/>
        <w:jc w:val="both"/>
        <w:rPr>
          <w:rFonts w:ascii="Times New Roman" w:eastAsia="仿宋_GB2312" w:hAnsi="Times New Roman"/>
          <w:sz w:val="32"/>
          <w:szCs w:val="32"/>
        </w:rPr>
      </w:pPr>
      <w:bookmarkStart w:id="1" w:name="_Hlk197438988"/>
      <w:r>
        <w:rPr>
          <w:rFonts w:ascii="Times New Roman" w:eastAsia="仿宋_GB2312" w:hAnsi="Times New Roman" w:hint="eastAsia"/>
          <w:sz w:val="32"/>
          <w:szCs w:val="32"/>
        </w:rPr>
        <w:t>应按照《污染源自动监控管理办法》、《排污单位自行监测技术指南》及相关环境监测技术规范等，提出自行监测方案及在线监测要求，对排污状况和自动监测数据负责。</w:t>
      </w:r>
      <w:bookmarkEnd w:id="1"/>
    </w:p>
    <w:p w:rsidR="000D152C" w:rsidRDefault="00831701">
      <w:pPr>
        <w:adjustRightInd w:val="0"/>
        <w:snapToGrid w:val="0"/>
        <w:spacing w:after="0" w:line="58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应按照《企业环境信息依法披露管理办法》相关规定向社会公开环境信息。</w:t>
      </w:r>
    </w:p>
    <w:p w:rsidR="000D152C" w:rsidRDefault="00831701">
      <w:pPr>
        <w:pStyle w:val="2"/>
        <w:spacing w:before="0" w:after="0" w:line="580" w:lineRule="exact"/>
        <w:ind w:firstLineChars="200" w:firstLine="640"/>
        <w:jc w:val="both"/>
        <w:rPr>
          <w:rFonts w:ascii="黑体" w:eastAsia="黑体" w:hAnsi="黑体" w:cs="Times New Roman"/>
          <w:bCs/>
          <w:color w:val="000000" w:themeColor="text1"/>
          <w:sz w:val="32"/>
          <w:szCs w:val="32"/>
          <w14:ligatures w14:val="none"/>
        </w:rPr>
      </w:pPr>
      <w:r>
        <w:rPr>
          <w:rFonts w:ascii="黑体" w:eastAsia="黑体" w:hAnsi="黑体" w:cs="Times New Roman" w:hint="eastAsia"/>
          <w:bCs/>
          <w:color w:val="000000" w:themeColor="text1"/>
          <w:sz w:val="32"/>
          <w:szCs w:val="32"/>
          <w14:ligatures w14:val="none"/>
        </w:rPr>
        <w:lastRenderedPageBreak/>
        <w:t>十、</w:t>
      </w:r>
      <w:r>
        <w:rPr>
          <w:rFonts w:ascii="黑体" w:eastAsia="黑体" w:hAnsi="黑体" w:cs="Times New Roman"/>
          <w:bCs/>
          <w:color w:val="000000" w:themeColor="text1"/>
          <w:sz w:val="32"/>
          <w:szCs w:val="32"/>
          <w14:ligatures w14:val="none"/>
        </w:rPr>
        <w:t>附则</w:t>
      </w:r>
    </w:p>
    <w:p w:rsidR="000D152C" w:rsidRDefault="00831701">
      <w:pPr>
        <w:adjustRightInd w:val="0"/>
        <w:snapToGrid w:val="0"/>
        <w:spacing w:after="0" w:line="580" w:lineRule="exact"/>
        <w:ind w:firstLineChars="200" w:firstLine="640"/>
        <w:jc w:val="both"/>
        <w:rPr>
          <w:rFonts w:ascii="Times New Roman" w:eastAsia="仿宋_GB2312" w:hAnsi="Times New Roman"/>
          <w:sz w:val="32"/>
          <w:szCs w:val="32"/>
        </w:rPr>
      </w:pPr>
      <w:r>
        <w:rPr>
          <w:rFonts w:ascii="Times New Roman" w:eastAsia="仿宋_GB2312" w:hAnsi="Times New Roman"/>
          <w:color w:val="000000" w:themeColor="text1"/>
          <w:sz w:val="32"/>
          <w:szCs w:val="32"/>
        </w:rPr>
        <w:t>（一）本</w:t>
      </w:r>
      <w:r>
        <w:rPr>
          <w:rFonts w:ascii="Times New Roman" w:eastAsia="仿宋_GB2312" w:hAnsi="Times New Roman" w:hint="eastAsia"/>
          <w:color w:val="000000" w:themeColor="text1"/>
          <w:sz w:val="32"/>
          <w:szCs w:val="32"/>
        </w:rPr>
        <w:t>《意见》</w:t>
      </w:r>
      <w:r>
        <w:rPr>
          <w:rFonts w:ascii="Times New Roman" w:eastAsia="仿宋_GB2312" w:hAnsi="Times New Roman"/>
          <w:color w:val="000000" w:themeColor="text1"/>
          <w:sz w:val="32"/>
          <w:szCs w:val="32"/>
        </w:rPr>
        <w:t>由宁夏回族自治区生态环境厅会同自治区工业和信息化厅、发展和改革委员会、药品监督管理局负责解释。</w:t>
      </w:r>
      <w:r>
        <w:rPr>
          <w:rFonts w:ascii="Times New Roman" w:eastAsia="仿宋_GB2312" w:hAnsi="Times New Roman"/>
          <w:sz w:val="32"/>
          <w:szCs w:val="32"/>
        </w:rPr>
        <w:t>涉及的国家、自治区和行业相关标准及政策如有修订，从其规定。与自治区其他地方标准、规范性文件不一致的，按照从严执行原则执行。</w:t>
      </w:r>
    </w:p>
    <w:p w:rsidR="000D152C" w:rsidRDefault="00831701">
      <w:pPr>
        <w:adjustRightInd w:val="0"/>
        <w:snapToGrid w:val="0"/>
        <w:spacing w:after="0" w:line="580" w:lineRule="exact"/>
        <w:ind w:firstLineChars="200" w:firstLine="640"/>
        <w:jc w:val="both"/>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w:t>
      </w:r>
      <w:r>
        <w:rPr>
          <w:rFonts w:ascii="Times New Roman" w:eastAsia="仿宋_GB2312" w:hAnsi="Times New Roman" w:hint="eastAsia"/>
          <w:color w:val="000000" w:themeColor="text1"/>
          <w:sz w:val="32"/>
          <w:szCs w:val="32"/>
        </w:rPr>
        <w:t>五</w:t>
      </w:r>
      <w:r>
        <w:rPr>
          <w:rFonts w:ascii="Times New Roman" w:eastAsia="仿宋_GB2312" w:hAnsi="Times New Roman"/>
          <w:color w:val="000000" w:themeColor="text1"/>
          <w:sz w:val="32"/>
          <w:szCs w:val="32"/>
        </w:rPr>
        <w:t>）本</w:t>
      </w:r>
      <w:r>
        <w:rPr>
          <w:rFonts w:ascii="Times New Roman" w:eastAsia="仿宋_GB2312" w:hAnsi="Times New Roman" w:hint="eastAsia"/>
          <w:color w:val="000000" w:themeColor="text1"/>
          <w:sz w:val="32"/>
          <w:szCs w:val="32"/>
        </w:rPr>
        <w:t>《意见》</w:t>
      </w:r>
      <w:r>
        <w:rPr>
          <w:rFonts w:ascii="Times New Roman" w:eastAsia="仿宋_GB2312" w:hAnsi="Times New Roman"/>
          <w:color w:val="000000" w:themeColor="text1"/>
          <w:sz w:val="32"/>
          <w:szCs w:val="32"/>
        </w:rPr>
        <w:t>自</w:t>
      </w:r>
      <w:r>
        <w:rPr>
          <w:rFonts w:ascii="Times New Roman" w:eastAsia="仿宋_GB2312" w:hAnsi="Times New Roman"/>
          <w:color w:val="000000" w:themeColor="text1"/>
          <w:sz w:val="32"/>
          <w:szCs w:val="32"/>
        </w:rPr>
        <w:t>20</w:t>
      </w:r>
      <w:r>
        <w:rPr>
          <w:rFonts w:ascii="Times New Roman" w:eastAsia="仿宋_GB2312" w:hAnsi="Times New Roman" w:hint="eastAsia"/>
          <w:color w:val="000000" w:themeColor="text1"/>
          <w:sz w:val="32"/>
          <w:szCs w:val="32"/>
        </w:rPr>
        <w:t>26</w:t>
      </w:r>
      <w:r>
        <w:rPr>
          <w:rFonts w:ascii="Times New Roman" w:eastAsia="仿宋_GB2312" w:hAnsi="Times New Roman"/>
          <w:color w:val="000000" w:themeColor="text1"/>
          <w:sz w:val="32"/>
          <w:szCs w:val="32"/>
        </w:rPr>
        <w:t>年</w:t>
      </w:r>
      <w:r>
        <w:rPr>
          <w:rFonts w:ascii="Times New Roman" w:eastAsia="仿宋_GB2312" w:hAnsi="Times New Roman"/>
          <w:color w:val="000000" w:themeColor="text1"/>
          <w:sz w:val="32"/>
          <w:szCs w:val="32"/>
        </w:rPr>
        <w:t>X</w:t>
      </w:r>
      <w:r>
        <w:rPr>
          <w:rFonts w:ascii="Times New Roman" w:eastAsia="仿宋_GB2312" w:hAnsi="Times New Roman"/>
          <w:color w:val="000000" w:themeColor="text1"/>
          <w:sz w:val="32"/>
          <w:szCs w:val="32"/>
        </w:rPr>
        <w:t>月</w:t>
      </w:r>
      <w:r>
        <w:rPr>
          <w:rFonts w:ascii="Times New Roman" w:eastAsia="仿宋_GB2312" w:hAnsi="Times New Roman"/>
          <w:color w:val="000000" w:themeColor="text1"/>
          <w:sz w:val="32"/>
          <w:szCs w:val="32"/>
        </w:rPr>
        <w:t>X</w:t>
      </w:r>
      <w:r>
        <w:rPr>
          <w:rFonts w:ascii="Times New Roman" w:eastAsia="仿宋_GB2312" w:hAnsi="Times New Roman"/>
          <w:color w:val="000000" w:themeColor="text1"/>
          <w:sz w:val="32"/>
          <w:szCs w:val="32"/>
        </w:rPr>
        <w:t>日起实施，有效期为</w:t>
      </w:r>
      <w:r>
        <w:rPr>
          <w:rFonts w:ascii="Times New Roman" w:eastAsia="仿宋_GB2312" w:hAnsi="Times New Roman"/>
          <w:color w:val="000000" w:themeColor="text1"/>
          <w:sz w:val="32"/>
          <w:szCs w:val="32"/>
        </w:rPr>
        <w:t>5</w:t>
      </w:r>
      <w:r>
        <w:rPr>
          <w:rFonts w:ascii="Times New Roman" w:eastAsia="仿宋_GB2312" w:hAnsi="Times New Roman"/>
          <w:color w:val="000000" w:themeColor="text1"/>
          <w:sz w:val="32"/>
          <w:szCs w:val="32"/>
        </w:rPr>
        <w:t>年，原《宁夏回族自治区化学原料药行业环境准入指导意见》同时废止。</w:t>
      </w:r>
    </w:p>
    <w:p w:rsidR="000D152C" w:rsidRDefault="000D152C">
      <w:pPr>
        <w:adjustRightInd w:val="0"/>
        <w:snapToGrid w:val="0"/>
        <w:spacing w:after="0" w:line="580" w:lineRule="exact"/>
        <w:ind w:firstLineChars="200" w:firstLine="640"/>
        <w:jc w:val="both"/>
        <w:rPr>
          <w:rFonts w:ascii="Times New Roman" w:eastAsia="仿宋_GB2312" w:hAnsi="Times New Roman"/>
          <w:sz w:val="32"/>
          <w:szCs w:val="32"/>
        </w:rPr>
      </w:pPr>
    </w:p>
    <w:p w:rsidR="000D152C" w:rsidRDefault="000D152C">
      <w:pPr>
        <w:adjustRightInd w:val="0"/>
        <w:snapToGrid w:val="0"/>
        <w:spacing w:after="0" w:line="580" w:lineRule="exact"/>
        <w:ind w:firstLineChars="200" w:firstLine="640"/>
        <w:jc w:val="both"/>
        <w:rPr>
          <w:rFonts w:ascii="Times New Roman" w:eastAsia="仿宋_GB2312" w:hAnsi="Times New Roman"/>
          <w:sz w:val="32"/>
          <w:szCs w:val="32"/>
        </w:rPr>
      </w:pPr>
    </w:p>
    <w:p w:rsidR="000D152C" w:rsidRDefault="00831701" w:rsidP="008B6570">
      <w:pPr>
        <w:pageBreakBefore/>
        <w:adjustRightInd w:val="0"/>
        <w:snapToGrid w:val="0"/>
        <w:spacing w:after="0" w:line="580" w:lineRule="exact"/>
        <w:ind w:firstLineChars="200" w:firstLine="640"/>
        <w:jc w:val="both"/>
        <w:rPr>
          <w:rFonts w:ascii="黑体" w:eastAsia="黑体" w:hAnsi="黑体"/>
          <w:bCs/>
          <w:sz w:val="32"/>
          <w:szCs w:val="32"/>
        </w:rPr>
      </w:pPr>
      <w:r>
        <w:rPr>
          <w:rFonts w:ascii="黑体" w:eastAsia="黑体" w:hAnsi="黑体"/>
          <w:bCs/>
          <w:sz w:val="32"/>
          <w:szCs w:val="32"/>
        </w:rPr>
        <w:lastRenderedPageBreak/>
        <w:t>附录A 制药行业单位产品基准排水量准入限值</w:t>
      </w:r>
    </w:p>
    <w:p w:rsidR="000D152C" w:rsidRDefault="00831701">
      <w:pPr>
        <w:adjustRightInd w:val="0"/>
        <w:snapToGrid w:val="0"/>
        <w:spacing w:after="0" w:line="580" w:lineRule="exact"/>
        <w:jc w:val="center"/>
        <w:rPr>
          <w:rFonts w:ascii="Times New Roman" w:eastAsia="仿宋_GB2312" w:hAnsi="Times New Roman"/>
          <w:sz w:val="30"/>
          <w:szCs w:val="30"/>
        </w:rPr>
      </w:pPr>
      <w:r>
        <w:rPr>
          <w:rFonts w:ascii="Times New Roman" w:eastAsia="仿宋_GB2312" w:hAnsi="Times New Roman"/>
          <w:sz w:val="30"/>
          <w:szCs w:val="30"/>
        </w:rPr>
        <w:t xml:space="preserve">A.1 </w:t>
      </w:r>
      <w:r>
        <w:rPr>
          <w:rFonts w:ascii="Times New Roman" w:eastAsia="仿宋_GB2312" w:hAnsi="Times New Roman"/>
          <w:sz w:val="30"/>
          <w:szCs w:val="30"/>
        </w:rPr>
        <w:t>化学合成类制药工业单位产品基准排水量准入限值</w:t>
      </w:r>
    </w:p>
    <w:p w:rsidR="000D152C" w:rsidRDefault="00831701">
      <w:pPr>
        <w:adjustRightInd w:val="0"/>
        <w:snapToGrid w:val="0"/>
        <w:spacing w:after="0" w:line="580" w:lineRule="exact"/>
        <w:jc w:val="right"/>
        <w:rPr>
          <w:rFonts w:ascii="Times New Roman" w:eastAsia="仿宋_GB2312" w:hAnsi="Times New Roman"/>
          <w:sz w:val="30"/>
          <w:szCs w:val="30"/>
        </w:rPr>
      </w:pPr>
      <w:r>
        <w:rPr>
          <w:rFonts w:ascii="Times New Roman" w:eastAsia="仿宋_GB2312" w:hAnsi="Times New Roman" w:hint="eastAsia"/>
          <w:sz w:val="30"/>
          <w:szCs w:val="30"/>
        </w:rPr>
        <w:t xml:space="preserve">         </w:t>
      </w:r>
      <w:r>
        <w:rPr>
          <w:rFonts w:ascii="Times New Roman" w:eastAsia="仿宋_GB2312" w:hAnsi="Times New Roman"/>
          <w:sz w:val="30"/>
          <w:szCs w:val="30"/>
        </w:rPr>
        <w:t>（单位：</w:t>
      </w:r>
      <w:r>
        <w:rPr>
          <w:rFonts w:ascii="Times New Roman" w:eastAsia="仿宋_GB2312" w:hAnsi="Times New Roman"/>
          <w:sz w:val="30"/>
          <w:szCs w:val="30"/>
        </w:rPr>
        <w:t>m</w:t>
      </w:r>
      <w:r>
        <w:rPr>
          <w:rFonts w:ascii="Times New Roman" w:eastAsia="仿宋_GB2312" w:hAnsi="Times New Roman"/>
          <w:sz w:val="30"/>
          <w:szCs w:val="30"/>
          <w:vertAlign w:val="superscript"/>
        </w:rPr>
        <w:t>3</w:t>
      </w:r>
      <w:r>
        <w:rPr>
          <w:rFonts w:ascii="Times New Roman" w:eastAsia="仿宋_GB2312" w:hAnsi="Times New Roman"/>
          <w:sz w:val="30"/>
          <w:szCs w:val="30"/>
        </w:rPr>
        <w:t>/t</w:t>
      </w:r>
      <w:r>
        <w:rPr>
          <w:rFonts w:ascii="Times New Roman" w:eastAsia="仿宋_GB2312" w:hAnsi="Times New Roman"/>
          <w:sz w:val="30"/>
          <w:szCs w:val="30"/>
        </w:rPr>
        <w:t>）</w:t>
      </w:r>
    </w:p>
    <w:tbl>
      <w:tblPr>
        <w:tblStyle w:val="af1"/>
        <w:tblW w:w="5000" w:type="pct"/>
        <w:tblBorders>
          <w:top w:val="single" w:sz="12" w:space="0" w:color="auto"/>
          <w:left w:val="none" w:sz="0" w:space="0" w:color="auto"/>
          <w:bottom w:val="single" w:sz="12" w:space="0" w:color="auto"/>
          <w:right w:val="none" w:sz="0" w:space="0" w:color="auto"/>
          <w:insideH w:val="single" w:sz="6" w:space="0" w:color="auto"/>
          <w:insideV w:val="single" w:sz="6" w:space="0" w:color="auto"/>
        </w:tblBorders>
        <w:tblLook w:val="04A0" w:firstRow="1" w:lastRow="0" w:firstColumn="1" w:lastColumn="0" w:noHBand="0" w:noVBand="1"/>
      </w:tblPr>
      <w:tblGrid>
        <w:gridCol w:w="850"/>
        <w:gridCol w:w="2836"/>
        <w:gridCol w:w="1842"/>
        <w:gridCol w:w="2778"/>
      </w:tblGrid>
      <w:tr w:rsidR="000D152C">
        <w:tc>
          <w:tcPr>
            <w:tcW w:w="512"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b/>
                <w:bCs/>
                <w:sz w:val="30"/>
                <w:szCs w:val="30"/>
              </w:rPr>
              <w:t>序号</w:t>
            </w:r>
          </w:p>
        </w:tc>
        <w:tc>
          <w:tcPr>
            <w:tcW w:w="1707"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b/>
                <w:bCs/>
                <w:sz w:val="30"/>
                <w:szCs w:val="30"/>
              </w:rPr>
              <w:t>药物种类</w:t>
            </w:r>
          </w:p>
        </w:tc>
        <w:tc>
          <w:tcPr>
            <w:tcW w:w="1109"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b/>
                <w:bCs/>
                <w:sz w:val="30"/>
                <w:szCs w:val="30"/>
              </w:rPr>
              <w:t>代表性药物</w:t>
            </w:r>
          </w:p>
        </w:tc>
        <w:tc>
          <w:tcPr>
            <w:tcW w:w="1672"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b/>
                <w:bCs/>
                <w:sz w:val="30"/>
                <w:szCs w:val="30"/>
              </w:rPr>
              <w:t>国标（</w:t>
            </w:r>
            <w:r>
              <w:rPr>
                <w:rFonts w:ascii="Times New Roman" w:eastAsia="仿宋_GB2312" w:hAnsi="Times New Roman"/>
                <w:b/>
                <w:bCs/>
                <w:sz w:val="30"/>
                <w:szCs w:val="30"/>
              </w:rPr>
              <w:t>GB 21904</w:t>
            </w:r>
            <w:r>
              <w:rPr>
                <w:rFonts w:ascii="Times New Roman" w:eastAsia="仿宋_GB2312" w:hAnsi="Times New Roman"/>
                <w:b/>
                <w:bCs/>
                <w:sz w:val="30"/>
                <w:szCs w:val="30"/>
              </w:rPr>
              <w:t>）基准排水量</w:t>
            </w:r>
          </w:p>
        </w:tc>
      </w:tr>
      <w:tr w:rsidR="000D152C">
        <w:tc>
          <w:tcPr>
            <w:tcW w:w="512" w:type="pct"/>
            <w:vMerge w:val="restar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hint="eastAsia"/>
                <w:sz w:val="30"/>
                <w:szCs w:val="30"/>
              </w:rPr>
              <w:t>1</w:t>
            </w:r>
          </w:p>
        </w:tc>
        <w:tc>
          <w:tcPr>
            <w:tcW w:w="1707" w:type="pct"/>
            <w:vMerge w:val="restar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sz w:val="30"/>
                <w:szCs w:val="30"/>
              </w:rPr>
              <w:t>神经系统类</w:t>
            </w:r>
          </w:p>
        </w:tc>
        <w:tc>
          <w:tcPr>
            <w:tcW w:w="1109"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sz w:val="30"/>
                <w:szCs w:val="30"/>
              </w:rPr>
              <w:t>安乃近</w:t>
            </w:r>
          </w:p>
        </w:tc>
        <w:tc>
          <w:tcPr>
            <w:tcW w:w="1672"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sz w:val="30"/>
                <w:szCs w:val="30"/>
              </w:rPr>
              <w:t>88</w:t>
            </w:r>
          </w:p>
        </w:tc>
      </w:tr>
      <w:tr w:rsidR="000D152C">
        <w:tc>
          <w:tcPr>
            <w:tcW w:w="512" w:type="pct"/>
            <w:vMerge/>
            <w:vAlign w:val="center"/>
          </w:tcPr>
          <w:p w:rsidR="000D152C" w:rsidRDefault="000D152C">
            <w:pPr>
              <w:adjustRightInd w:val="0"/>
              <w:snapToGrid w:val="0"/>
              <w:spacing w:after="0" w:line="240" w:lineRule="auto"/>
              <w:jc w:val="center"/>
              <w:rPr>
                <w:rFonts w:ascii="Times New Roman" w:eastAsia="仿宋_GB2312" w:hAnsi="Times New Roman"/>
                <w:sz w:val="30"/>
                <w:szCs w:val="30"/>
              </w:rPr>
            </w:pPr>
          </w:p>
        </w:tc>
        <w:tc>
          <w:tcPr>
            <w:tcW w:w="1707" w:type="pct"/>
            <w:vMerge/>
            <w:vAlign w:val="center"/>
          </w:tcPr>
          <w:p w:rsidR="000D152C" w:rsidRDefault="000D152C">
            <w:pPr>
              <w:adjustRightInd w:val="0"/>
              <w:snapToGrid w:val="0"/>
              <w:spacing w:after="0" w:line="240" w:lineRule="auto"/>
              <w:jc w:val="center"/>
              <w:rPr>
                <w:rFonts w:ascii="Times New Roman" w:eastAsia="仿宋_GB2312" w:hAnsi="Times New Roman"/>
                <w:sz w:val="30"/>
                <w:szCs w:val="30"/>
              </w:rPr>
            </w:pPr>
          </w:p>
        </w:tc>
        <w:tc>
          <w:tcPr>
            <w:tcW w:w="1109"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sz w:val="30"/>
                <w:szCs w:val="30"/>
              </w:rPr>
              <w:t>阿司匹林</w:t>
            </w:r>
          </w:p>
        </w:tc>
        <w:tc>
          <w:tcPr>
            <w:tcW w:w="1672"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sz w:val="30"/>
                <w:szCs w:val="30"/>
              </w:rPr>
              <w:t>30</w:t>
            </w:r>
          </w:p>
        </w:tc>
      </w:tr>
      <w:tr w:rsidR="000D152C">
        <w:tc>
          <w:tcPr>
            <w:tcW w:w="512" w:type="pct"/>
            <w:vMerge/>
            <w:vAlign w:val="center"/>
          </w:tcPr>
          <w:p w:rsidR="000D152C" w:rsidRDefault="000D152C">
            <w:pPr>
              <w:adjustRightInd w:val="0"/>
              <w:snapToGrid w:val="0"/>
              <w:spacing w:after="0" w:line="240" w:lineRule="auto"/>
              <w:jc w:val="center"/>
              <w:rPr>
                <w:rFonts w:ascii="Times New Roman" w:eastAsia="仿宋_GB2312" w:hAnsi="Times New Roman"/>
                <w:sz w:val="30"/>
                <w:szCs w:val="30"/>
              </w:rPr>
            </w:pPr>
          </w:p>
        </w:tc>
        <w:tc>
          <w:tcPr>
            <w:tcW w:w="1707" w:type="pct"/>
            <w:vMerge/>
            <w:vAlign w:val="center"/>
          </w:tcPr>
          <w:p w:rsidR="000D152C" w:rsidRDefault="000D152C">
            <w:pPr>
              <w:adjustRightInd w:val="0"/>
              <w:snapToGrid w:val="0"/>
              <w:spacing w:after="0" w:line="240" w:lineRule="auto"/>
              <w:jc w:val="center"/>
              <w:rPr>
                <w:rFonts w:ascii="Times New Roman" w:eastAsia="仿宋_GB2312" w:hAnsi="Times New Roman"/>
                <w:sz w:val="30"/>
                <w:szCs w:val="30"/>
              </w:rPr>
            </w:pPr>
          </w:p>
        </w:tc>
        <w:tc>
          <w:tcPr>
            <w:tcW w:w="1109"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sz w:val="30"/>
                <w:szCs w:val="30"/>
              </w:rPr>
              <w:t>咖啡因</w:t>
            </w:r>
          </w:p>
        </w:tc>
        <w:tc>
          <w:tcPr>
            <w:tcW w:w="1672"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sz w:val="30"/>
                <w:szCs w:val="30"/>
              </w:rPr>
              <w:t>248</w:t>
            </w:r>
          </w:p>
        </w:tc>
      </w:tr>
      <w:tr w:rsidR="000D152C">
        <w:tc>
          <w:tcPr>
            <w:tcW w:w="512" w:type="pct"/>
            <w:vMerge/>
            <w:vAlign w:val="center"/>
          </w:tcPr>
          <w:p w:rsidR="000D152C" w:rsidRDefault="000D152C">
            <w:pPr>
              <w:adjustRightInd w:val="0"/>
              <w:snapToGrid w:val="0"/>
              <w:spacing w:after="0" w:line="240" w:lineRule="auto"/>
              <w:jc w:val="center"/>
              <w:rPr>
                <w:rFonts w:ascii="Times New Roman" w:eastAsia="仿宋_GB2312" w:hAnsi="Times New Roman"/>
                <w:sz w:val="30"/>
                <w:szCs w:val="30"/>
              </w:rPr>
            </w:pPr>
          </w:p>
        </w:tc>
        <w:tc>
          <w:tcPr>
            <w:tcW w:w="1707" w:type="pct"/>
            <w:vMerge/>
            <w:vAlign w:val="center"/>
          </w:tcPr>
          <w:p w:rsidR="000D152C" w:rsidRDefault="000D152C">
            <w:pPr>
              <w:adjustRightInd w:val="0"/>
              <w:snapToGrid w:val="0"/>
              <w:spacing w:after="0" w:line="240" w:lineRule="auto"/>
              <w:jc w:val="center"/>
              <w:rPr>
                <w:rFonts w:ascii="Times New Roman" w:eastAsia="仿宋_GB2312" w:hAnsi="Times New Roman"/>
                <w:sz w:val="30"/>
                <w:szCs w:val="30"/>
              </w:rPr>
            </w:pPr>
          </w:p>
        </w:tc>
        <w:tc>
          <w:tcPr>
            <w:tcW w:w="1109"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sz w:val="30"/>
                <w:szCs w:val="30"/>
              </w:rPr>
              <w:t>布</w:t>
            </w:r>
            <w:proofErr w:type="gramStart"/>
            <w:r>
              <w:rPr>
                <w:rFonts w:ascii="Times New Roman" w:eastAsia="仿宋_GB2312" w:hAnsi="Times New Roman"/>
                <w:sz w:val="30"/>
                <w:szCs w:val="30"/>
              </w:rPr>
              <w:t>洛</w:t>
            </w:r>
            <w:proofErr w:type="gramEnd"/>
            <w:r>
              <w:rPr>
                <w:rFonts w:ascii="Times New Roman" w:eastAsia="仿宋_GB2312" w:hAnsi="Times New Roman"/>
                <w:sz w:val="30"/>
                <w:szCs w:val="30"/>
              </w:rPr>
              <w:t>芬</w:t>
            </w:r>
          </w:p>
        </w:tc>
        <w:tc>
          <w:tcPr>
            <w:tcW w:w="1672"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sz w:val="30"/>
                <w:szCs w:val="30"/>
              </w:rPr>
              <w:t>120</w:t>
            </w:r>
          </w:p>
        </w:tc>
      </w:tr>
      <w:tr w:rsidR="000D152C">
        <w:tc>
          <w:tcPr>
            <w:tcW w:w="512" w:type="pct"/>
            <w:vMerge w:val="restar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sz w:val="30"/>
                <w:szCs w:val="30"/>
              </w:rPr>
              <w:t>2</w:t>
            </w:r>
          </w:p>
        </w:tc>
        <w:tc>
          <w:tcPr>
            <w:tcW w:w="1707" w:type="pct"/>
            <w:vMerge w:val="restar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sz w:val="30"/>
                <w:szCs w:val="30"/>
              </w:rPr>
              <w:t>抗微生物感染类</w:t>
            </w:r>
          </w:p>
        </w:tc>
        <w:tc>
          <w:tcPr>
            <w:tcW w:w="1109"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sz w:val="30"/>
                <w:szCs w:val="30"/>
              </w:rPr>
              <w:t>氯霉素</w:t>
            </w:r>
          </w:p>
        </w:tc>
        <w:tc>
          <w:tcPr>
            <w:tcW w:w="1672"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sz w:val="30"/>
                <w:szCs w:val="30"/>
              </w:rPr>
              <w:t>1000</w:t>
            </w:r>
          </w:p>
        </w:tc>
      </w:tr>
      <w:tr w:rsidR="000D152C">
        <w:tc>
          <w:tcPr>
            <w:tcW w:w="512" w:type="pct"/>
            <w:vMerge/>
            <w:vAlign w:val="center"/>
          </w:tcPr>
          <w:p w:rsidR="000D152C" w:rsidRDefault="000D152C">
            <w:pPr>
              <w:adjustRightInd w:val="0"/>
              <w:snapToGrid w:val="0"/>
              <w:spacing w:after="0" w:line="240" w:lineRule="auto"/>
              <w:jc w:val="center"/>
              <w:rPr>
                <w:rFonts w:ascii="Times New Roman" w:eastAsia="仿宋_GB2312" w:hAnsi="Times New Roman"/>
                <w:sz w:val="30"/>
                <w:szCs w:val="30"/>
              </w:rPr>
            </w:pPr>
          </w:p>
        </w:tc>
        <w:tc>
          <w:tcPr>
            <w:tcW w:w="1707" w:type="pct"/>
            <w:vMerge/>
            <w:vAlign w:val="center"/>
          </w:tcPr>
          <w:p w:rsidR="000D152C" w:rsidRDefault="000D152C">
            <w:pPr>
              <w:adjustRightInd w:val="0"/>
              <w:snapToGrid w:val="0"/>
              <w:spacing w:after="0" w:line="240" w:lineRule="auto"/>
              <w:jc w:val="center"/>
              <w:rPr>
                <w:rFonts w:ascii="Times New Roman" w:eastAsia="仿宋_GB2312" w:hAnsi="Times New Roman"/>
                <w:sz w:val="30"/>
                <w:szCs w:val="30"/>
              </w:rPr>
            </w:pPr>
          </w:p>
        </w:tc>
        <w:tc>
          <w:tcPr>
            <w:tcW w:w="1109"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sz w:val="30"/>
                <w:szCs w:val="30"/>
              </w:rPr>
              <w:t>磺胺吡啶</w:t>
            </w:r>
          </w:p>
        </w:tc>
        <w:tc>
          <w:tcPr>
            <w:tcW w:w="1672"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sz w:val="30"/>
                <w:szCs w:val="30"/>
              </w:rPr>
              <w:t>280</w:t>
            </w:r>
          </w:p>
        </w:tc>
      </w:tr>
      <w:tr w:rsidR="000D152C">
        <w:tc>
          <w:tcPr>
            <w:tcW w:w="512" w:type="pct"/>
            <w:vMerge/>
            <w:vAlign w:val="center"/>
          </w:tcPr>
          <w:p w:rsidR="000D152C" w:rsidRDefault="000D152C">
            <w:pPr>
              <w:adjustRightInd w:val="0"/>
              <w:snapToGrid w:val="0"/>
              <w:spacing w:after="0" w:line="240" w:lineRule="auto"/>
              <w:jc w:val="center"/>
              <w:rPr>
                <w:rFonts w:ascii="Times New Roman" w:eastAsia="仿宋_GB2312" w:hAnsi="Times New Roman"/>
                <w:sz w:val="30"/>
                <w:szCs w:val="30"/>
              </w:rPr>
            </w:pPr>
          </w:p>
        </w:tc>
        <w:tc>
          <w:tcPr>
            <w:tcW w:w="1707" w:type="pct"/>
            <w:vMerge/>
            <w:vAlign w:val="center"/>
          </w:tcPr>
          <w:p w:rsidR="000D152C" w:rsidRDefault="000D152C">
            <w:pPr>
              <w:adjustRightInd w:val="0"/>
              <w:snapToGrid w:val="0"/>
              <w:spacing w:after="0" w:line="240" w:lineRule="auto"/>
              <w:jc w:val="center"/>
              <w:rPr>
                <w:rFonts w:ascii="Times New Roman" w:eastAsia="仿宋_GB2312" w:hAnsi="Times New Roman"/>
                <w:sz w:val="30"/>
                <w:szCs w:val="30"/>
              </w:rPr>
            </w:pPr>
          </w:p>
        </w:tc>
        <w:tc>
          <w:tcPr>
            <w:tcW w:w="1109"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sz w:val="30"/>
                <w:szCs w:val="30"/>
              </w:rPr>
              <w:t>呋喃</w:t>
            </w:r>
            <w:proofErr w:type="gramStart"/>
            <w:r>
              <w:rPr>
                <w:rFonts w:ascii="Times New Roman" w:eastAsia="仿宋_GB2312" w:hAnsi="Times New Roman"/>
                <w:sz w:val="30"/>
                <w:szCs w:val="30"/>
              </w:rPr>
              <w:t>唑</w:t>
            </w:r>
            <w:proofErr w:type="gramEnd"/>
            <w:r>
              <w:rPr>
                <w:rFonts w:ascii="Times New Roman" w:eastAsia="仿宋_GB2312" w:hAnsi="Times New Roman"/>
                <w:sz w:val="30"/>
                <w:szCs w:val="30"/>
              </w:rPr>
              <w:t>酮</w:t>
            </w:r>
          </w:p>
        </w:tc>
        <w:tc>
          <w:tcPr>
            <w:tcW w:w="1672"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sz w:val="30"/>
                <w:szCs w:val="30"/>
              </w:rPr>
              <w:t>2400</w:t>
            </w:r>
          </w:p>
        </w:tc>
      </w:tr>
      <w:tr w:rsidR="000D152C">
        <w:tc>
          <w:tcPr>
            <w:tcW w:w="512" w:type="pct"/>
            <w:vMerge/>
            <w:vAlign w:val="center"/>
          </w:tcPr>
          <w:p w:rsidR="000D152C" w:rsidRDefault="000D152C">
            <w:pPr>
              <w:adjustRightInd w:val="0"/>
              <w:snapToGrid w:val="0"/>
              <w:spacing w:after="0" w:line="240" w:lineRule="auto"/>
              <w:jc w:val="center"/>
              <w:rPr>
                <w:rFonts w:ascii="Times New Roman" w:eastAsia="仿宋_GB2312" w:hAnsi="Times New Roman"/>
                <w:sz w:val="30"/>
                <w:szCs w:val="30"/>
              </w:rPr>
            </w:pPr>
          </w:p>
        </w:tc>
        <w:tc>
          <w:tcPr>
            <w:tcW w:w="1707" w:type="pct"/>
            <w:vMerge/>
            <w:vAlign w:val="center"/>
          </w:tcPr>
          <w:p w:rsidR="000D152C" w:rsidRDefault="000D152C">
            <w:pPr>
              <w:adjustRightInd w:val="0"/>
              <w:snapToGrid w:val="0"/>
              <w:spacing w:after="0" w:line="240" w:lineRule="auto"/>
              <w:jc w:val="center"/>
              <w:rPr>
                <w:rFonts w:ascii="Times New Roman" w:eastAsia="仿宋_GB2312" w:hAnsi="Times New Roman"/>
                <w:sz w:val="30"/>
                <w:szCs w:val="30"/>
              </w:rPr>
            </w:pPr>
          </w:p>
        </w:tc>
        <w:tc>
          <w:tcPr>
            <w:tcW w:w="1109"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sz w:val="30"/>
                <w:szCs w:val="30"/>
              </w:rPr>
              <w:t>阿莫西林</w:t>
            </w:r>
          </w:p>
        </w:tc>
        <w:tc>
          <w:tcPr>
            <w:tcW w:w="1672"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sz w:val="30"/>
                <w:szCs w:val="30"/>
              </w:rPr>
              <w:t>240</w:t>
            </w:r>
          </w:p>
        </w:tc>
      </w:tr>
      <w:tr w:rsidR="000D152C">
        <w:tc>
          <w:tcPr>
            <w:tcW w:w="512" w:type="pct"/>
            <w:vMerge/>
            <w:vAlign w:val="center"/>
          </w:tcPr>
          <w:p w:rsidR="000D152C" w:rsidRDefault="000D152C">
            <w:pPr>
              <w:adjustRightInd w:val="0"/>
              <w:snapToGrid w:val="0"/>
              <w:spacing w:after="0" w:line="240" w:lineRule="auto"/>
              <w:jc w:val="center"/>
              <w:rPr>
                <w:rFonts w:ascii="Times New Roman" w:eastAsia="仿宋_GB2312" w:hAnsi="Times New Roman"/>
                <w:sz w:val="30"/>
                <w:szCs w:val="30"/>
              </w:rPr>
            </w:pPr>
          </w:p>
        </w:tc>
        <w:tc>
          <w:tcPr>
            <w:tcW w:w="1707" w:type="pct"/>
            <w:vMerge/>
            <w:vAlign w:val="center"/>
          </w:tcPr>
          <w:p w:rsidR="000D152C" w:rsidRDefault="000D152C">
            <w:pPr>
              <w:adjustRightInd w:val="0"/>
              <w:snapToGrid w:val="0"/>
              <w:spacing w:after="0" w:line="240" w:lineRule="auto"/>
              <w:jc w:val="center"/>
              <w:rPr>
                <w:rFonts w:ascii="Times New Roman" w:eastAsia="仿宋_GB2312" w:hAnsi="Times New Roman"/>
                <w:sz w:val="30"/>
                <w:szCs w:val="30"/>
              </w:rPr>
            </w:pPr>
          </w:p>
        </w:tc>
        <w:tc>
          <w:tcPr>
            <w:tcW w:w="1109"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sz w:val="30"/>
                <w:szCs w:val="30"/>
              </w:rPr>
              <w:t>头</w:t>
            </w:r>
            <w:proofErr w:type="gramStart"/>
            <w:r>
              <w:rPr>
                <w:rFonts w:ascii="Times New Roman" w:eastAsia="仿宋_GB2312" w:hAnsi="Times New Roman"/>
                <w:sz w:val="30"/>
                <w:szCs w:val="30"/>
              </w:rPr>
              <w:t>孢</w:t>
            </w:r>
            <w:proofErr w:type="gramEnd"/>
            <w:r>
              <w:rPr>
                <w:rFonts w:ascii="Times New Roman" w:eastAsia="仿宋_GB2312" w:hAnsi="Times New Roman"/>
                <w:sz w:val="30"/>
                <w:szCs w:val="30"/>
              </w:rPr>
              <w:t>拉定</w:t>
            </w:r>
          </w:p>
        </w:tc>
        <w:tc>
          <w:tcPr>
            <w:tcW w:w="1672"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sz w:val="30"/>
                <w:szCs w:val="30"/>
              </w:rPr>
              <w:t>1200</w:t>
            </w:r>
          </w:p>
        </w:tc>
      </w:tr>
      <w:tr w:rsidR="000D152C">
        <w:tc>
          <w:tcPr>
            <w:tcW w:w="512"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sz w:val="30"/>
                <w:szCs w:val="30"/>
              </w:rPr>
              <w:t>3</w:t>
            </w:r>
          </w:p>
        </w:tc>
        <w:tc>
          <w:tcPr>
            <w:tcW w:w="1707"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sz w:val="30"/>
                <w:szCs w:val="30"/>
              </w:rPr>
              <w:t>呼吸系统类</w:t>
            </w:r>
          </w:p>
        </w:tc>
        <w:tc>
          <w:tcPr>
            <w:tcW w:w="1109"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proofErr w:type="gramStart"/>
            <w:r>
              <w:rPr>
                <w:rFonts w:ascii="Times New Roman" w:eastAsia="仿宋_GB2312" w:hAnsi="Times New Roman"/>
                <w:sz w:val="30"/>
                <w:szCs w:val="30"/>
              </w:rPr>
              <w:t>愈创木酚</w:t>
            </w:r>
            <w:proofErr w:type="gramEnd"/>
            <w:r>
              <w:rPr>
                <w:rFonts w:ascii="Times New Roman" w:eastAsia="仿宋_GB2312" w:hAnsi="Times New Roman"/>
                <w:sz w:val="30"/>
                <w:szCs w:val="30"/>
              </w:rPr>
              <w:t>甘油醚</w:t>
            </w:r>
          </w:p>
        </w:tc>
        <w:tc>
          <w:tcPr>
            <w:tcW w:w="1672"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sz w:val="30"/>
                <w:szCs w:val="30"/>
              </w:rPr>
              <w:t>45</w:t>
            </w:r>
          </w:p>
        </w:tc>
      </w:tr>
      <w:tr w:rsidR="000D152C">
        <w:tc>
          <w:tcPr>
            <w:tcW w:w="512"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sz w:val="30"/>
                <w:szCs w:val="30"/>
              </w:rPr>
              <w:t>4</w:t>
            </w:r>
          </w:p>
        </w:tc>
        <w:tc>
          <w:tcPr>
            <w:tcW w:w="1707"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sz w:val="30"/>
                <w:szCs w:val="30"/>
              </w:rPr>
              <w:t>心血管系统类</w:t>
            </w:r>
          </w:p>
        </w:tc>
        <w:tc>
          <w:tcPr>
            <w:tcW w:w="1109"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sz w:val="30"/>
                <w:szCs w:val="30"/>
              </w:rPr>
              <w:t>辛伐他</w:t>
            </w:r>
            <w:proofErr w:type="gramStart"/>
            <w:r>
              <w:rPr>
                <w:rFonts w:ascii="Times New Roman" w:eastAsia="仿宋_GB2312" w:hAnsi="Times New Roman"/>
                <w:sz w:val="30"/>
                <w:szCs w:val="30"/>
              </w:rPr>
              <w:t>汀</w:t>
            </w:r>
            <w:proofErr w:type="gramEnd"/>
          </w:p>
        </w:tc>
        <w:tc>
          <w:tcPr>
            <w:tcW w:w="1672"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sz w:val="30"/>
                <w:szCs w:val="30"/>
              </w:rPr>
              <w:t>240</w:t>
            </w:r>
          </w:p>
        </w:tc>
      </w:tr>
      <w:tr w:rsidR="000D152C">
        <w:tc>
          <w:tcPr>
            <w:tcW w:w="512"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sz w:val="30"/>
                <w:szCs w:val="30"/>
              </w:rPr>
              <w:t>5</w:t>
            </w:r>
          </w:p>
        </w:tc>
        <w:tc>
          <w:tcPr>
            <w:tcW w:w="1707" w:type="pct"/>
            <w:vAlign w:val="center"/>
          </w:tcPr>
          <w:p w:rsidR="000D152C" w:rsidRDefault="00831701">
            <w:pPr>
              <w:adjustRightInd w:val="0"/>
              <w:snapToGrid w:val="0"/>
              <w:spacing w:after="0" w:line="240" w:lineRule="auto"/>
              <w:jc w:val="center"/>
              <w:rPr>
                <w:rFonts w:ascii="Times New Roman" w:eastAsia="仿宋_GB2312" w:hAnsi="Times New Roman"/>
                <w:spacing w:val="-20"/>
                <w:sz w:val="30"/>
                <w:szCs w:val="30"/>
              </w:rPr>
            </w:pPr>
            <w:r>
              <w:rPr>
                <w:rFonts w:ascii="Times New Roman" w:eastAsia="仿宋_GB2312" w:hAnsi="Times New Roman"/>
                <w:spacing w:val="-20"/>
                <w:sz w:val="30"/>
                <w:szCs w:val="30"/>
              </w:rPr>
              <w:t>激素及影响内分泌类</w:t>
            </w:r>
          </w:p>
        </w:tc>
        <w:tc>
          <w:tcPr>
            <w:tcW w:w="1109"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sz w:val="30"/>
                <w:szCs w:val="30"/>
              </w:rPr>
              <w:t>氢化可的松</w:t>
            </w:r>
          </w:p>
        </w:tc>
        <w:tc>
          <w:tcPr>
            <w:tcW w:w="1672"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sz w:val="30"/>
                <w:szCs w:val="30"/>
              </w:rPr>
              <w:t>4500</w:t>
            </w:r>
          </w:p>
        </w:tc>
      </w:tr>
      <w:tr w:rsidR="000D152C">
        <w:tc>
          <w:tcPr>
            <w:tcW w:w="512" w:type="pct"/>
            <w:vMerge w:val="restar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sz w:val="30"/>
                <w:szCs w:val="30"/>
              </w:rPr>
              <w:t>6</w:t>
            </w:r>
          </w:p>
        </w:tc>
        <w:tc>
          <w:tcPr>
            <w:tcW w:w="1707" w:type="pct"/>
            <w:vMerge w:val="restar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sz w:val="30"/>
                <w:szCs w:val="30"/>
              </w:rPr>
              <w:t>维生素类</w:t>
            </w:r>
          </w:p>
        </w:tc>
        <w:tc>
          <w:tcPr>
            <w:tcW w:w="1109"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sz w:val="30"/>
                <w:szCs w:val="30"/>
              </w:rPr>
              <w:t>维生素</w:t>
            </w:r>
            <w:r>
              <w:rPr>
                <w:rFonts w:ascii="Times New Roman" w:eastAsia="仿宋_GB2312" w:hAnsi="Times New Roman"/>
                <w:sz w:val="30"/>
                <w:szCs w:val="30"/>
              </w:rPr>
              <w:t xml:space="preserve"> E</w:t>
            </w:r>
          </w:p>
        </w:tc>
        <w:tc>
          <w:tcPr>
            <w:tcW w:w="1672"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sz w:val="30"/>
                <w:szCs w:val="30"/>
              </w:rPr>
              <w:t>45</w:t>
            </w:r>
          </w:p>
        </w:tc>
      </w:tr>
      <w:tr w:rsidR="000D152C">
        <w:tc>
          <w:tcPr>
            <w:tcW w:w="512" w:type="pct"/>
            <w:vMerge/>
            <w:vAlign w:val="center"/>
          </w:tcPr>
          <w:p w:rsidR="000D152C" w:rsidRDefault="000D152C">
            <w:pPr>
              <w:adjustRightInd w:val="0"/>
              <w:snapToGrid w:val="0"/>
              <w:spacing w:after="0" w:line="240" w:lineRule="auto"/>
              <w:jc w:val="center"/>
              <w:rPr>
                <w:rFonts w:ascii="Times New Roman" w:eastAsia="仿宋_GB2312" w:hAnsi="Times New Roman"/>
                <w:sz w:val="30"/>
                <w:szCs w:val="30"/>
              </w:rPr>
            </w:pPr>
          </w:p>
        </w:tc>
        <w:tc>
          <w:tcPr>
            <w:tcW w:w="1707" w:type="pct"/>
            <w:vMerge/>
            <w:vAlign w:val="center"/>
          </w:tcPr>
          <w:p w:rsidR="000D152C" w:rsidRDefault="000D152C">
            <w:pPr>
              <w:adjustRightInd w:val="0"/>
              <w:snapToGrid w:val="0"/>
              <w:spacing w:after="0" w:line="240" w:lineRule="auto"/>
              <w:jc w:val="center"/>
              <w:rPr>
                <w:rFonts w:ascii="Times New Roman" w:eastAsia="仿宋_GB2312" w:hAnsi="Times New Roman"/>
                <w:sz w:val="30"/>
                <w:szCs w:val="30"/>
              </w:rPr>
            </w:pPr>
          </w:p>
        </w:tc>
        <w:tc>
          <w:tcPr>
            <w:tcW w:w="1109"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sz w:val="30"/>
                <w:szCs w:val="30"/>
              </w:rPr>
              <w:t>维生素</w:t>
            </w:r>
            <w:r>
              <w:rPr>
                <w:rFonts w:ascii="Times New Roman" w:eastAsia="仿宋_GB2312" w:hAnsi="Times New Roman"/>
                <w:sz w:val="30"/>
                <w:szCs w:val="30"/>
              </w:rPr>
              <w:t xml:space="preserve"> B1</w:t>
            </w:r>
          </w:p>
        </w:tc>
        <w:tc>
          <w:tcPr>
            <w:tcW w:w="1672"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sz w:val="30"/>
                <w:szCs w:val="30"/>
              </w:rPr>
              <w:t>3400</w:t>
            </w:r>
          </w:p>
        </w:tc>
      </w:tr>
      <w:tr w:rsidR="000D152C">
        <w:tc>
          <w:tcPr>
            <w:tcW w:w="512"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sz w:val="30"/>
                <w:szCs w:val="30"/>
              </w:rPr>
              <w:t>7</w:t>
            </w:r>
          </w:p>
        </w:tc>
        <w:tc>
          <w:tcPr>
            <w:tcW w:w="1707"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sz w:val="30"/>
                <w:szCs w:val="30"/>
              </w:rPr>
              <w:t>氨基酸类</w:t>
            </w:r>
          </w:p>
        </w:tc>
        <w:tc>
          <w:tcPr>
            <w:tcW w:w="1109"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sz w:val="30"/>
                <w:szCs w:val="30"/>
              </w:rPr>
              <w:t>甘氨酸</w:t>
            </w:r>
          </w:p>
        </w:tc>
        <w:tc>
          <w:tcPr>
            <w:tcW w:w="1672"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sz w:val="30"/>
                <w:szCs w:val="30"/>
              </w:rPr>
              <w:t>401</w:t>
            </w:r>
          </w:p>
        </w:tc>
      </w:tr>
      <w:tr w:rsidR="000D152C">
        <w:tc>
          <w:tcPr>
            <w:tcW w:w="512"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sz w:val="30"/>
                <w:szCs w:val="30"/>
              </w:rPr>
              <w:t>8</w:t>
            </w:r>
          </w:p>
        </w:tc>
        <w:tc>
          <w:tcPr>
            <w:tcW w:w="1707"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sz w:val="30"/>
                <w:szCs w:val="30"/>
              </w:rPr>
              <w:t>其他类</w:t>
            </w:r>
          </w:p>
        </w:tc>
        <w:tc>
          <w:tcPr>
            <w:tcW w:w="1109"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proofErr w:type="gramStart"/>
            <w:r>
              <w:rPr>
                <w:rFonts w:ascii="Times New Roman" w:eastAsia="仿宋_GB2312" w:hAnsi="Times New Roman"/>
                <w:sz w:val="30"/>
                <w:szCs w:val="30"/>
              </w:rPr>
              <w:t>盐酸赛庚啶</w:t>
            </w:r>
            <w:proofErr w:type="gramEnd"/>
          </w:p>
        </w:tc>
        <w:tc>
          <w:tcPr>
            <w:tcW w:w="1672"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sz w:val="30"/>
                <w:szCs w:val="30"/>
              </w:rPr>
              <w:t>1894</w:t>
            </w:r>
          </w:p>
        </w:tc>
      </w:tr>
      <w:tr w:rsidR="000D152C">
        <w:tc>
          <w:tcPr>
            <w:tcW w:w="512" w:type="pct"/>
            <w:vAlign w:val="center"/>
          </w:tcPr>
          <w:p w:rsidR="000D152C" w:rsidRDefault="00831701">
            <w:pPr>
              <w:adjustRightInd w:val="0"/>
              <w:snapToGrid w:val="0"/>
              <w:spacing w:after="0" w:line="240" w:lineRule="auto"/>
              <w:jc w:val="center"/>
              <w:rPr>
                <w:rFonts w:ascii="Times New Roman" w:eastAsia="仿宋_GB2312" w:hAnsi="Times New Roman"/>
                <w:b/>
                <w:sz w:val="30"/>
                <w:szCs w:val="30"/>
              </w:rPr>
            </w:pPr>
            <w:r>
              <w:rPr>
                <w:rFonts w:ascii="Times New Roman" w:eastAsia="仿宋_GB2312" w:hAnsi="Times New Roman"/>
                <w:b/>
                <w:sz w:val="30"/>
                <w:szCs w:val="30"/>
              </w:rPr>
              <w:t>备注</w:t>
            </w:r>
          </w:p>
        </w:tc>
        <w:tc>
          <w:tcPr>
            <w:tcW w:w="4488" w:type="pct"/>
            <w:gridSpan w:val="3"/>
            <w:vAlign w:val="center"/>
          </w:tcPr>
          <w:p w:rsidR="000D152C" w:rsidRDefault="00831701">
            <w:pPr>
              <w:adjustRightInd w:val="0"/>
              <w:snapToGrid w:val="0"/>
              <w:spacing w:after="0" w:line="240" w:lineRule="auto"/>
              <w:ind w:firstLineChars="200" w:firstLine="600"/>
              <w:rPr>
                <w:rFonts w:ascii="Times New Roman" w:eastAsia="仿宋_GB2312" w:hAnsi="Times New Roman"/>
                <w:sz w:val="30"/>
                <w:szCs w:val="30"/>
              </w:rPr>
            </w:pPr>
            <w:r>
              <w:rPr>
                <w:rFonts w:ascii="Times New Roman" w:eastAsia="仿宋_GB2312" w:hAnsi="Times New Roman"/>
                <w:sz w:val="30"/>
                <w:szCs w:val="30"/>
              </w:rPr>
              <w:t>排水量计量位置与污染物排放监控位置相同，</w:t>
            </w:r>
            <w:r>
              <w:rPr>
                <w:rFonts w:ascii="Times New Roman" w:eastAsia="仿宋_GB2312" w:hAnsi="Times New Roman" w:hint="eastAsia"/>
                <w:sz w:val="30"/>
                <w:szCs w:val="30"/>
              </w:rPr>
              <w:t>鼓励</w:t>
            </w:r>
            <w:r>
              <w:rPr>
                <w:rFonts w:ascii="Times New Roman" w:eastAsia="仿宋_GB2312" w:hAnsi="Times New Roman"/>
                <w:sz w:val="30"/>
                <w:szCs w:val="30"/>
              </w:rPr>
              <w:t>准入限值为国标基准排水量削减</w:t>
            </w:r>
            <w:r>
              <w:rPr>
                <w:rFonts w:ascii="Times New Roman" w:eastAsia="仿宋_GB2312" w:hAnsi="Times New Roman"/>
                <w:sz w:val="30"/>
                <w:szCs w:val="30"/>
              </w:rPr>
              <w:t xml:space="preserve"> 10%</w:t>
            </w:r>
            <w:r>
              <w:rPr>
                <w:rFonts w:ascii="Times New Roman" w:eastAsia="仿宋_GB2312" w:hAnsi="Times New Roman" w:hint="eastAsia"/>
                <w:sz w:val="30"/>
                <w:szCs w:val="30"/>
              </w:rPr>
              <w:t>。</w:t>
            </w:r>
          </w:p>
        </w:tc>
      </w:tr>
    </w:tbl>
    <w:p w:rsidR="000D152C" w:rsidRDefault="000D152C">
      <w:pPr>
        <w:adjustRightInd w:val="0"/>
        <w:snapToGrid w:val="0"/>
        <w:spacing w:after="0" w:line="580" w:lineRule="exact"/>
        <w:jc w:val="right"/>
        <w:rPr>
          <w:rFonts w:ascii="Times New Roman" w:eastAsia="仿宋_GB2312" w:hAnsi="Times New Roman"/>
          <w:sz w:val="30"/>
          <w:szCs w:val="30"/>
        </w:rPr>
      </w:pPr>
    </w:p>
    <w:p w:rsidR="000D152C" w:rsidRDefault="00831701">
      <w:pPr>
        <w:pageBreakBefore/>
        <w:adjustRightInd w:val="0"/>
        <w:snapToGrid w:val="0"/>
        <w:spacing w:after="0" w:line="580" w:lineRule="exact"/>
        <w:jc w:val="center"/>
        <w:rPr>
          <w:rFonts w:ascii="Times New Roman" w:eastAsia="仿宋_GB2312" w:hAnsi="Times New Roman"/>
          <w:sz w:val="30"/>
          <w:szCs w:val="30"/>
        </w:rPr>
      </w:pPr>
      <w:r>
        <w:rPr>
          <w:rFonts w:ascii="Times New Roman" w:eastAsia="仿宋_GB2312" w:hAnsi="Times New Roman"/>
          <w:sz w:val="30"/>
          <w:szCs w:val="30"/>
        </w:rPr>
        <w:lastRenderedPageBreak/>
        <w:t xml:space="preserve">A.2 </w:t>
      </w:r>
      <w:r>
        <w:rPr>
          <w:rFonts w:ascii="Times New Roman" w:eastAsia="仿宋_GB2312" w:hAnsi="Times New Roman"/>
          <w:sz w:val="30"/>
          <w:szCs w:val="30"/>
        </w:rPr>
        <w:t>发酵类制药工业单位产品基准排水量准入限值</w:t>
      </w:r>
    </w:p>
    <w:p w:rsidR="000D152C" w:rsidRDefault="00831701">
      <w:pPr>
        <w:adjustRightInd w:val="0"/>
        <w:snapToGrid w:val="0"/>
        <w:spacing w:after="0" w:line="580" w:lineRule="exact"/>
        <w:jc w:val="right"/>
        <w:rPr>
          <w:rFonts w:ascii="Times New Roman" w:eastAsia="仿宋_GB2312" w:hAnsi="Times New Roman"/>
          <w:sz w:val="30"/>
          <w:szCs w:val="30"/>
        </w:rPr>
      </w:pPr>
      <w:r>
        <w:rPr>
          <w:rFonts w:ascii="Times New Roman" w:eastAsia="仿宋_GB2312" w:hAnsi="Times New Roman"/>
          <w:sz w:val="30"/>
          <w:szCs w:val="30"/>
        </w:rPr>
        <w:t>（单位：</w:t>
      </w:r>
      <w:r>
        <w:rPr>
          <w:rFonts w:ascii="Times New Roman" w:eastAsia="仿宋_GB2312" w:hAnsi="Times New Roman"/>
          <w:sz w:val="30"/>
          <w:szCs w:val="30"/>
        </w:rPr>
        <w:t>m</w:t>
      </w:r>
      <w:r>
        <w:rPr>
          <w:rFonts w:ascii="Times New Roman" w:eastAsia="仿宋_GB2312" w:hAnsi="Times New Roman"/>
          <w:sz w:val="30"/>
          <w:szCs w:val="30"/>
          <w:vertAlign w:val="superscript"/>
        </w:rPr>
        <w:t>3</w:t>
      </w:r>
      <w:r>
        <w:rPr>
          <w:rFonts w:ascii="Times New Roman" w:eastAsia="仿宋_GB2312" w:hAnsi="Times New Roman"/>
          <w:sz w:val="30"/>
          <w:szCs w:val="30"/>
        </w:rPr>
        <w:t>/t</w:t>
      </w:r>
      <w:r>
        <w:rPr>
          <w:rFonts w:ascii="Times New Roman" w:eastAsia="仿宋_GB2312" w:hAnsi="Times New Roman"/>
          <w:sz w:val="30"/>
          <w:szCs w:val="30"/>
        </w:rPr>
        <w:t>）</w:t>
      </w:r>
    </w:p>
    <w:tbl>
      <w:tblPr>
        <w:tblStyle w:val="af1"/>
        <w:tblW w:w="5000" w:type="pct"/>
        <w:tblBorders>
          <w:top w:val="single" w:sz="12" w:space="0" w:color="auto"/>
          <w:left w:val="none" w:sz="0" w:space="0" w:color="auto"/>
          <w:bottom w:val="single" w:sz="12" w:space="0" w:color="auto"/>
          <w:right w:val="none" w:sz="0" w:space="0" w:color="auto"/>
          <w:insideH w:val="single" w:sz="6" w:space="0" w:color="auto"/>
          <w:insideV w:val="single" w:sz="6" w:space="0" w:color="auto"/>
        </w:tblBorders>
        <w:tblLook w:val="04A0" w:firstRow="1" w:lastRow="0" w:firstColumn="1" w:lastColumn="0" w:noHBand="0" w:noVBand="1"/>
      </w:tblPr>
      <w:tblGrid>
        <w:gridCol w:w="850"/>
        <w:gridCol w:w="2836"/>
        <w:gridCol w:w="1842"/>
        <w:gridCol w:w="2778"/>
      </w:tblGrid>
      <w:tr w:rsidR="000D152C">
        <w:tc>
          <w:tcPr>
            <w:tcW w:w="512"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b/>
                <w:bCs/>
                <w:sz w:val="30"/>
                <w:szCs w:val="30"/>
              </w:rPr>
              <w:t>序号</w:t>
            </w:r>
          </w:p>
        </w:tc>
        <w:tc>
          <w:tcPr>
            <w:tcW w:w="1707"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b/>
                <w:bCs/>
                <w:sz w:val="30"/>
                <w:szCs w:val="30"/>
              </w:rPr>
              <w:t>药物种类</w:t>
            </w:r>
          </w:p>
        </w:tc>
        <w:tc>
          <w:tcPr>
            <w:tcW w:w="1109"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b/>
                <w:bCs/>
                <w:sz w:val="30"/>
                <w:szCs w:val="30"/>
              </w:rPr>
              <w:t>代表性药物</w:t>
            </w:r>
          </w:p>
        </w:tc>
        <w:tc>
          <w:tcPr>
            <w:tcW w:w="1672"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b/>
                <w:bCs/>
                <w:sz w:val="30"/>
                <w:szCs w:val="30"/>
              </w:rPr>
              <w:t>国标（</w:t>
            </w:r>
            <w:r>
              <w:rPr>
                <w:rFonts w:ascii="Times New Roman" w:eastAsia="仿宋_GB2312" w:hAnsi="Times New Roman"/>
                <w:b/>
                <w:bCs/>
                <w:sz w:val="30"/>
                <w:szCs w:val="30"/>
              </w:rPr>
              <w:t>GB 21904</w:t>
            </w:r>
            <w:r>
              <w:rPr>
                <w:rFonts w:ascii="Times New Roman" w:eastAsia="仿宋_GB2312" w:hAnsi="Times New Roman"/>
                <w:b/>
                <w:bCs/>
                <w:sz w:val="30"/>
                <w:szCs w:val="30"/>
              </w:rPr>
              <w:t>）基准排水量</w:t>
            </w:r>
          </w:p>
        </w:tc>
      </w:tr>
      <w:tr w:rsidR="000D152C">
        <w:tc>
          <w:tcPr>
            <w:tcW w:w="512" w:type="pct"/>
            <w:vMerge w:val="restar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sz w:val="30"/>
                <w:szCs w:val="30"/>
              </w:rPr>
              <w:t>1</w:t>
            </w:r>
          </w:p>
        </w:tc>
        <w:tc>
          <w:tcPr>
            <w:tcW w:w="1707" w:type="pct"/>
            <w:vMerge w:val="restar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sz w:val="30"/>
                <w:szCs w:val="30"/>
              </w:rPr>
              <w:t xml:space="preserve">β- </w:t>
            </w:r>
            <w:r>
              <w:rPr>
                <w:rFonts w:ascii="Times New Roman" w:eastAsia="仿宋_GB2312" w:hAnsi="Times New Roman"/>
                <w:sz w:val="30"/>
                <w:szCs w:val="30"/>
              </w:rPr>
              <w:t>内酰胺类抗生素</w:t>
            </w:r>
          </w:p>
        </w:tc>
        <w:tc>
          <w:tcPr>
            <w:tcW w:w="1109"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sz w:val="30"/>
                <w:szCs w:val="30"/>
              </w:rPr>
              <w:t>青霉素</w:t>
            </w:r>
          </w:p>
        </w:tc>
        <w:tc>
          <w:tcPr>
            <w:tcW w:w="1672"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sz w:val="30"/>
                <w:szCs w:val="30"/>
              </w:rPr>
              <w:t>1000</w:t>
            </w:r>
          </w:p>
        </w:tc>
      </w:tr>
      <w:tr w:rsidR="000D152C">
        <w:tc>
          <w:tcPr>
            <w:tcW w:w="512" w:type="pct"/>
            <w:vMerge/>
            <w:vAlign w:val="center"/>
          </w:tcPr>
          <w:p w:rsidR="000D152C" w:rsidRDefault="000D152C">
            <w:pPr>
              <w:adjustRightInd w:val="0"/>
              <w:snapToGrid w:val="0"/>
              <w:spacing w:after="0" w:line="240" w:lineRule="auto"/>
              <w:jc w:val="center"/>
              <w:rPr>
                <w:rFonts w:ascii="Times New Roman" w:eastAsia="仿宋_GB2312" w:hAnsi="Times New Roman"/>
                <w:sz w:val="30"/>
                <w:szCs w:val="30"/>
              </w:rPr>
            </w:pPr>
          </w:p>
        </w:tc>
        <w:tc>
          <w:tcPr>
            <w:tcW w:w="1707" w:type="pct"/>
            <w:vMerge/>
            <w:vAlign w:val="center"/>
          </w:tcPr>
          <w:p w:rsidR="000D152C" w:rsidRDefault="000D152C">
            <w:pPr>
              <w:adjustRightInd w:val="0"/>
              <w:snapToGrid w:val="0"/>
              <w:spacing w:after="0" w:line="240" w:lineRule="auto"/>
              <w:jc w:val="center"/>
              <w:rPr>
                <w:rFonts w:ascii="Times New Roman" w:eastAsia="仿宋_GB2312" w:hAnsi="Times New Roman"/>
                <w:sz w:val="30"/>
                <w:szCs w:val="30"/>
              </w:rPr>
            </w:pPr>
          </w:p>
        </w:tc>
        <w:tc>
          <w:tcPr>
            <w:tcW w:w="1109"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sz w:val="30"/>
                <w:szCs w:val="30"/>
              </w:rPr>
              <w:t>头孢菌素</w:t>
            </w:r>
          </w:p>
        </w:tc>
        <w:tc>
          <w:tcPr>
            <w:tcW w:w="1672"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sz w:val="30"/>
                <w:szCs w:val="30"/>
              </w:rPr>
              <w:t>1900</w:t>
            </w:r>
          </w:p>
        </w:tc>
      </w:tr>
      <w:tr w:rsidR="000D152C">
        <w:tc>
          <w:tcPr>
            <w:tcW w:w="512" w:type="pct"/>
            <w:vMerge/>
            <w:vAlign w:val="center"/>
          </w:tcPr>
          <w:p w:rsidR="000D152C" w:rsidRDefault="000D152C">
            <w:pPr>
              <w:adjustRightInd w:val="0"/>
              <w:snapToGrid w:val="0"/>
              <w:spacing w:after="0" w:line="240" w:lineRule="auto"/>
              <w:jc w:val="center"/>
              <w:rPr>
                <w:rFonts w:ascii="Times New Roman" w:eastAsia="仿宋_GB2312" w:hAnsi="Times New Roman"/>
                <w:sz w:val="30"/>
                <w:szCs w:val="30"/>
              </w:rPr>
            </w:pPr>
          </w:p>
        </w:tc>
        <w:tc>
          <w:tcPr>
            <w:tcW w:w="1707" w:type="pct"/>
            <w:vMerge/>
            <w:vAlign w:val="center"/>
          </w:tcPr>
          <w:p w:rsidR="000D152C" w:rsidRDefault="000D152C">
            <w:pPr>
              <w:adjustRightInd w:val="0"/>
              <w:snapToGrid w:val="0"/>
              <w:spacing w:after="0" w:line="240" w:lineRule="auto"/>
              <w:jc w:val="center"/>
              <w:rPr>
                <w:rFonts w:ascii="Times New Roman" w:eastAsia="仿宋_GB2312" w:hAnsi="Times New Roman"/>
                <w:sz w:val="30"/>
                <w:szCs w:val="30"/>
              </w:rPr>
            </w:pPr>
          </w:p>
        </w:tc>
        <w:tc>
          <w:tcPr>
            <w:tcW w:w="1109"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hint="eastAsia"/>
                <w:sz w:val="30"/>
                <w:szCs w:val="30"/>
              </w:rPr>
              <w:t>其他</w:t>
            </w:r>
          </w:p>
        </w:tc>
        <w:tc>
          <w:tcPr>
            <w:tcW w:w="1672"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hint="eastAsia"/>
                <w:sz w:val="30"/>
                <w:szCs w:val="30"/>
              </w:rPr>
              <w:t>1200</w:t>
            </w:r>
          </w:p>
        </w:tc>
      </w:tr>
      <w:tr w:rsidR="000D152C">
        <w:tc>
          <w:tcPr>
            <w:tcW w:w="512" w:type="pct"/>
            <w:vMerge w:val="restar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sz w:val="30"/>
                <w:szCs w:val="30"/>
              </w:rPr>
              <w:t>2</w:t>
            </w:r>
          </w:p>
        </w:tc>
        <w:tc>
          <w:tcPr>
            <w:tcW w:w="1707" w:type="pct"/>
            <w:vMerge w:val="restar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sz w:val="30"/>
                <w:szCs w:val="30"/>
              </w:rPr>
              <w:t>四环类抗生素</w:t>
            </w:r>
          </w:p>
        </w:tc>
        <w:tc>
          <w:tcPr>
            <w:tcW w:w="1109"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sz w:val="30"/>
                <w:szCs w:val="30"/>
              </w:rPr>
              <w:t>土霉素、四环素</w:t>
            </w:r>
          </w:p>
        </w:tc>
        <w:tc>
          <w:tcPr>
            <w:tcW w:w="1672"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sz w:val="30"/>
                <w:szCs w:val="30"/>
              </w:rPr>
              <w:t>750</w:t>
            </w:r>
          </w:p>
        </w:tc>
      </w:tr>
      <w:tr w:rsidR="000D152C">
        <w:tc>
          <w:tcPr>
            <w:tcW w:w="512" w:type="pct"/>
            <w:vMerge/>
            <w:vAlign w:val="center"/>
          </w:tcPr>
          <w:p w:rsidR="000D152C" w:rsidRDefault="000D152C">
            <w:pPr>
              <w:adjustRightInd w:val="0"/>
              <w:snapToGrid w:val="0"/>
              <w:spacing w:after="0" w:line="240" w:lineRule="auto"/>
              <w:jc w:val="center"/>
              <w:rPr>
                <w:rFonts w:ascii="Times New Roman" w:eastAsia="仿宋_GB2312" w:hAnsi="Times New Roman"/>
                <w:sz w:val="30"/>
                <w:szCs w:val="30"/>
              </w:rPr>
            </w:pPr>
          </w:p>
        </w:tc>
        <w:tc>
          <w:tcPr>
            <w:tcW w:w="1707" w:type="pct"/>
            <w:vMerge/>
            <w:vAlign w:val="center"/>
          </w:tcPr>
          <w:p w:rsidR="000D152C" w:rsidRDefault="000D152C">
            <w:pPr>
              <w:adjustRightInd w:val="0"/>
              <w:snapToGrid w:val="0"/>
              <w:spacing w:after="0" w:line="240" w:lineRule="auto"/>
              <w:jc w:val="center"/>
              <w:rPr>
                <w:rFonts w:ascii="Times New Roman" w:eastAsia="仿宋_GB2312" w:hAnsi="Times New Roman"/>
                <w:sz w:val="30"/>
                <w:szCs w:val="30"/>
              </w:rPr>
            </w:pPr>
          </w:p>
        </w:tc>
        <w:tc>
          <w:tcPr>
            <w:tcW w:w="1109"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sz w:val="30"/>
                <w:szCs w:val="30"/>
              </w:rPr>
              <w:t>去甲基金霉素</w:t>
            </w:r>
          </w:p>
        </w:tc>
        <w:tc>
          <w:tcPr>
            <w:tcW w:w="1672"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hint="eastAsia"/>
                <w:sz w:val="30"/>
                <w:szCs w:val="30"/>
              </w:rPr>
              <w:t>1200</w:t>
            </w:r>
          </w:p>
        </w:tc>
      </w:tr>
      <w:tr w:rsidR="000D152C">
        <w:tc>
          <w:tcPr>
            <w:tcW w:w="512" w:type="pct"/>
            <w:vMerge/>
            <w:vAlign w:val="center"/>
          </w:tcPr>
          <w:p w:rsidR="000D152C" w:rsidRDefault="000D152C">
            <w:pPr>
              <w:adjustRightInd w:val="0"/>
              <w:snapToGrid w:val="0"/>
              <w:spacing w:after="0" w:line="240" w:lineRule="auto"/>
              <w:jc w:val="center"/>
              <w:rPr>
                <w:rFonts w:ascii="Times New Roman" w:eastAsia="仿宋_GB2312" w:hAnsi="Times New Roman"/>
                <w:sz w:val="30"/>
                <w:szCs w:val="30"/>
              </w:rPr>
            </w:pPr>
          </w:p>
        </w:tc>
        <w:tc>
          <w:tcPr>
            <w:tcW w:w="1707" w:type="pct"/>
            <w:vMerge/>
            <w:vAlign w:val="center"/>
          </w:tcPr>
          <w:p w:rsidR="000D152C" w:rsidRDefault="000D152C">
            <w:pPr>
              <w:adjustRightInd w:val="0"/>
              <w:snapToGrid w:val="0"/>
              <w:spacing w:after="0" w:line="240" w:lineRule="auto"/>
              <w:jc w:val="center"/>
              <w:rPr>
                <w:rFonts w:ascii="Times New Roman" w:eastAsia="仿宋_GB2312" w:hAnsi="Times New Roman"/>
                <w:sz w:val="30"/>
                <w:szCs w:val="30"/>
              </w:rPr>
            </w:pPr>
          </w:p>
        </w:tc>
        <w:tc>
          <w:tcPr>
            <w:tcW w:w="1109"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sz w:val="30"/>
                <w:szCs w:val="30"/>
              </w:rPr>
              <w:t>金霉素</w:t>
            </w:r>
          </w:p>
        </w:tc>
        <w:tc>
          <w:tcPr>
            <w:tcW w:w="1672"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sz w:val="30"/>
                <w:szCs w:val="30"/>
              </w:rPr>
              <w:t>500</w:t>
            </w:r>
          </w:p>
        </w:tc>
      </w:tr>
      <w:tr w:rsidR="000D152C">
        <w:tc>
          <w:tcPr>
            <w:tcW w:w="512" w:type="pct"/>
            <w:vMerge/>
            <w:vAlign w:val="center"/>
          </w:tcPr>
          <w:p w:rsidR="000D152C" w:rsidRDefault="000D152C">
            <w:pPr>
              <w:adjustRightInd w:val="0"/>
              <w:snapToGrid w:val="0"/>
              <w:spacing w:after="0" w:line="240" w:lineRule="auto"/>
              <w:jc w:val="center"/>
              <w:rPr>
                <w:rFonts w:ascii="Times New Roman" w:eastAsia="仿宋_GB2312" w:hAnsi="Times New Roman"/>
                <w:sz w:val="30"/>
                <w:szCs w:val="30"/>
              </w:rPr>
            </w:pPr>
          </w:p>
        </w:tc>
        <w:tc>
          <w:tcPr>
            <w:tcW w:w="1707" w:type="pct"/>
            <w:vMerge/>
            <w:vAlign w:val="center"/>
          </w:tcPr>
          <w:p w:rsidR="000D152C" w:rsidRDefault="000D152C">
            <w:pPr>
              <w:adjustRightInd w:val="0"/>
              <w:snapToGrid w:val="0"/>
              <w:spacing w:after="0" w:line="240" w:lineRule="auto"/>
              <w:jc w:val="center"/>
              <w:rPr>
                <w:rFonts w:ascii="Times New Roman" w:eastAsia="仿宋_GB2312" w:hAnsi="Times New Roman"/>
                <w:sz w:val="30"/>
                <w:szCs w:val="30"/>
              </w:rPr>
            </w:pPr>
          </w:p>
        </w:tc>
        <w:tc>
          <w:tcPr>
            <w:tcW w:w="1109"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hint="eastAsia"/>
                <w:sz w:val="30"/>
                <w:szCs w:val="30"/>
              </w:rPr>
              <w:t>其他</w:t>
            </w:r>
          </w:p>
        </w:tc>
        <w:tc>
          <w:tcPr>
            <w:tcW w:w="1672"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hint="eastAsia"/>
                <w:sz w:val="30"/>
                <w:szCs w:val="30"/>
              </w:rPr>
              <w:t>500</w:t>
            </w:r>
          </w:p>
        </w:tc>
      </w:tr>
      <w:tr w:rsidR="000D152C">
        <w:tc>
          <w:tcPr>
            <w:tcW w:w="512" w:type="pct"/>
            <w:vMerge w:val="restar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sz w:val="30"/>
                <w:szCs w:val="30"/>
              </w:rPr>
              <w:t>3</w:t>
            </w:r>
          </w:p>
        </w:tc>
        <w:tc>
          <w:tcPr>
            <w:tcW w:w="1707" w:type="pct"/>
            <w:vMerge w:val="restar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sz w:val="30"/>
                <w:szCs w:val="30"/>
              </w:rPr>
              <w:t>氨基糖苷类抗生素</w:t>
            </w:r>
          </w:p>
        </w:tc>
        <w:tc>
          <w:tcPr>
            <w:tcW w:w="1109"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sz w:val="30"/>
                <w:szCs w:val="30"/>
              </w:rPr>
              <w:t>链霉、双氢链霉素</w:t>
            </w:r>
          </w:p>
        </w:tc>
        <w:tc>
          <w:tcPr>
            <w:tcW w:w="1672"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sz w:val="30"/>
                <w:szCs w:val="30"/>
              </w:rPr>
              <w:t>1450</w:t>
            </w:r>
          </w:p>
        </w:tc>
      </w:tr>
      <w:tr w:rsidR="000D152C">
        <w:tc>
          <w:tcPr>
            <w:tcW w:w="512" w:type="pct"/>
            <w:vMerge/>
            <w:vAlign w:val="center"/>
          </w:tcPr>
          <w:p w:rsidR="000D152C" w:rsidRDefault="000D152C">
            <w:pPr>
              <w:adjustRightInd w:val="0"/>
              <w:snapToGrid w:val="0"/>
              <w:spacing w:after="0" w:line="240" w:lineRule="auto"/>
              <w:jc w:val="center"/>
              <w:rPr>
                <w:rFonts w:ascii="Times New Roman" w:eastAsia="仿宋_GB2312" w:hAnsi="Times New Roman"/>
                <w:sz w:val="30"/>
                <w:szCs w:val="30"/>
              </w:rPr>
            </w:pPr>
          </w:p>
        </w:tc>
        <w:tc>
          <w:tcPr>
            <w:tcW w:w="1707" w:type="pct"/>
            <w:vMerge/>
            <w:vAlign w:val="center"/>
          </w:tcPr>
          <w:p w:rsidR="000D152C" w:rsidRDefault="000D152C">
            <w:pPr>
              <w:adjustRightInd w:val="0"/>
              <w:snapToGrid w:val="0"/>
              <w:spacing w:after="0" w:line="240" w:lineRule="auto"/>
              <w:jc w:val="center"/>
              <w:rPr>
                <w:rFonts w:ascii="Times New Roman" w:eastAsia="仿宋_GB2312" w:hAnsi="Times New Roman"/>
                <w:sz w:val="30"/>
                <w:szCs w:val="30"/>
              </w:rPr>
            </w:pPr>
          </w:p>
        </w:tc>
        <w:tc>
          <w:tcPr>
            <w:tcW w:w="1109"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sz w:val="30"/>
                <w:szCs w:val="30"/>
              </w:rPr>
              <w:t>庆大霉素</w:t>
            </w:r>
          </w:p>
        </w:tc>
        <w:tc>
          <w:tcPr>
            <w:tcW w:w="1672"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sz w:val="30"/>
                <w:szCs w:val="30"/>
              </w:rPr>
              <w:t>6500</w:t>
            </w:r>
          </w:p>
        </w:tc>
      </w:tr>
      <w:tr w:rsidR="000D152C">
        <w:tc>
          <w:tcPr>
            <w:tcW w:w="512" w:type="pct"/>
            <w:vMerge/>
            <w:vAlign w:val="center"/>
          </w:tcPr>
          <w:p w:rsidR="000D152C" w:rsidRDefault="000D152C">
            <w:pPr>
              <w:adjustRightInd w:val="0"/>
              <w:snapToGrid w:val="0"/>
              <w:spacing w:after="0" w:line="240" w:lineRule="auto"/>
              <w:jc w:val="center"/>
              <w:rPr>
                <w:rFonts w:ascii="Times New Roman" w:eastAsia="仿宋_GB2312" w:hAnsi="Times New Roman"/>
                <w:sz w:val="30"/>
                <w:szCs w:val="30"/>
              </w:rPr>
            </w:pPr>
          </w:p>
        </w:tc>
        <w:tc>
          <w:tcPr>
            <w:tcW w:w="1707" w:type="pct"/>
            <w:vMerge/>
            <w:vAlign w:val="center"/>
          </w:tcPr>
          <w:p w:rsidR="000D152C" w:rsidRDefault="000D152C">
            <w:pPr>
              <w:adjustRightInd w:val="0"/>
              <w:snapToGrid w:val="0"/>
              <w:spacing w:after="0" w:line="240" w:lineRule="auto"/>
              <w:jc w:val="center"/>
              <w:rPr>
                <w:rFonts w:ascii="Times New Roman" w:eastAsia="仿宋_GB2312" w:hAnsi="Times New Roman"/>
                <w:sz w:val="30"/>
                <w:szCs w:val="30"/>
              </w:rPr>
            </w:pPr>
          </w:p>
        </w:tc>
        <w:tc>
          <w:tcPr>
            <w:tcW w:w="1109"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sz w:val="30"/>
                <w:szCs w:val="30"/>
              </w:rPr>
              <w:t>大观霉素</w:t>
            </w:r>
          </w:p>
        </w:tc>
        <w:tc>
          <w:tcPr>
            <w:tcW w:w="1672"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hint="eastAsia"/>
                <w:sz w:val="30"/>
                <w:szCs w:val="30"/>
              </w:rPr>
              <w:t>1500</w:t>
            </w:r>
          </w:p>
        </w:tc>
      </w:tr>
      <w:tr w:rsidR="000D152C">
        <w:tc>
          <w:tcPr>
            <w:tcW w:w="512" w:type="pct"/>
            <w:vMerge/>
            <w:vAlign w:val="center"/>
          </w:tcPr>
          <w:p w:rsidR="000D152C" w:rsidRDefault="000D152C">
            <w:pPr>
              <w:adjustRightInd w:val="0"/>
              <w:snapToGrid w:val="0"/>
              <w:spacing w:after="0" w:line="240" w:lineRule="auto"/>
              <w:jc w:val="center"/>
              <w:rPr>
                <w:rFonts w:ascii="Times New Roman" w:eastAsia="仿宋_GB2312" w:hAnsi="Times New Roman"/>
                <w:sz w:val="30"/>
                <w:szCs w:val="30"/>
              </w:rPr>
            </w:pPr>
          </w:p>
        </w:tc>
        <w:tc>
          <w:tcPr>
            <w:tcW w:w="1707" w:type="pct"/>
            <w:vMerge/>
            <w:vAlign w:val="center"/>
          </w:tcPr>
          <w:p w:rsidR="000D152C" w:rsidRDefault="000D152C">
            <w:pPr>
              <w:adjustRightInd w:val="0"/>
              <w:snapToGrid w:val="0"/>
              <w:spacing w:after="0" w:line="240" w:lineRule="auto"/>
              <w:jc w:val="center"/>
              <w:rPr>
                <w:rFonts w:ascii="Times New Roman" w:eastAsia="仿宋_GB2312" w:hAnsi="Times New Roman"/>
                <w:sz w:val="30"/>
                <w:szCs w:val="30"/>
              </w:rPr>
            </w:pPr>
          </w:p>
        </w:tc>
        <w:tc>
          <w:tcPr>
            <w:tcW w:w="1109"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hint="eastAsia"/>
                <w:sz w:val="30"/>
                <w:szCs w:val="30"/>
              </w:rPr>
              <w:t>其他</w:t>
            </w:r>
          </w:p>
        </w:tc>
        <w:tc>
          <w:tcPr>
            <w:tcW w:w="1672"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hint="eastAsia"/>
                <w:sz w:val="30"/>
                <w:szCs w:val="30"/>
              </w:rPr>
              <w:t>3000</w:t>
            </w:r>
          </w:p>
        </w:tc>
      </w:tr>
      <w:tr w:rsidR="000D152C">
        <w:tc>
          <w:tcPr>
            <w:tcW w:w="512" w:type="pct"/>
            <w:vMerge w:val="restar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sz w:val="30"/>
                <w:szCs w:val="30"/>
              </w:rPr>
              <w:t>4</w:t>
            </w:r>
          </w:p>
        </w:tc>
        <w:tc>
          <w:tcPr>
            <w:tcW w:w="1707" w:type="pct"/>
            <w:vMerge w:val="restar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sz w:val="30"/>
                <w:szCs w:val="30"/>
              </w:rPr>
              <w:t>大环内酯类抗生素</w:t>
            </w:r>
          </w:p>
        </w:tc>
        <w:tc>
          <w:tcPr>
            <w:tcW w:w="1109"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sz w:val="30"/>
                <w:szCs w:val="30"/>
              </w:rPr>
              <w:t>红霉素</w:t>
            </w:r>
          </w:p>
        </w:tc>
        <w:tc>
          <w:tcPr>
            <w:tcW w:w="1672"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sz w:val="30"/>
                <w:szCs w:val="30"/>
              </w:rPr>
              <w:t>850</w:t>
            </w:r>
          </w:p>
        </w:tc>
      </w:tr>
      <w:tr w:rsidR="000D152C">
        <w:tc>
          <w:tcPr>
            <w:tcW w:w="512" w:type="pct"/>
            <w:vMerge/>
            <w:vAlign w:val="center"/>
          </w:tcPr>
          <w:p w:rsidR="000D152C" w:rsidRDefault="000D152C">
            <w:pPr>
              <w:adjustRightInd w:val="0"/>
              <w:snapToGrid w:val="0"/>
              <w:spacing w:after="0" w:line="240" w:lineRule="auto"/>
              <w:jc w:val="center"/>
              <w:rPr>
                <w:rFonts w:ascii="Times New Roman" w:eastAsia="仿宋_GB2312" w:hAnsi="Times New Roman"/>
                <w:sz w:val="30"/>
                <w:szCs w:val="30"/>
              </w:rPr>
            </w:pPr>
          </w:p>
        </w:tc>
        <w:tc>
          <w:tcPr>
            <w:tcW w:w="1707" w:type="pct"/>
            <w:vMerge/>
            <w:vAlign w:val="center"/>
          </w:tcPr>
          <w:p w:rsidR="000D152C" w:rsidRDefault="000D152C">
            <w:pPr>
              <w:adjustRightInd w:val="0"/>
              <w:snapToGrid w:val="0"/>
              <w:spacing w:after="0" w:line="240" w:lineRule="auto"/>
              <w:jc w:val="center"/>
              <w:rPr>
                <w:rFonts w:ascii="Times New Roman" w:eastAsia="仿宋_GB2312" w:hAnsi="Times New Roman"/>
                <w:sz w:val="30"/>
                <w:szCs w:val="30"/>
              </w:rPr>
            </w:pPr>
          </w:p>
        </w:tc>
        <w:tc>
          <w:tcPr>
            <w:tcW w:w="1109"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proofErr w:type="gramStart"/>
            <w:r>
              <w:rPr>
                <w:rFonts w:ascii="Times New Roman" w:eastAsia="仿宋_GB2312" w:hAnsi="Times New Roman"/>
                <w:sz w:val="30"/>
                <w:szCs w:val="30"/>
              </w:rPr>
              <w:t>麦白霉素</w:t>
            </w:r>
            <w:proofErr w:type="gramEnd"/>
          </w:p>
        </w:tc>
        <w:tc>
          <w:tcPr>
            <w:tcW w:w="1672"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hint="eastAsia"/>
                <w:sz w:val="30"/>
                <w:szCs w:val="30"/>
              </w:rPr>
              <w:t>750</w:t>
            </w:r>
          </w:p>
        </w:tc>
      </w:tr>
      <w:tr w:rsidR="000D152C">
        <w:tc>
          <w:tcPr>
            <w:tcW w:w="512" w:type="pct"/>
            <w:vMerge/>
            <w:vAlign w:val="center"/>
          </w:tcPr>
          <w:p w:rsidR="000D152C" w:rsidRDefault="000D152C">
            <w:pPr>
              <w:adjustRightInd w:val="0"/>
              <w:snapToGrid w:val="0"/>
              <w:spacing w:after="0" w:line="240" w:lineRule="auto"/>
              <w:jc w:val="center"/>
              <w:rPr>
                <w:rFonts w:ascii="Times New Roman" w:eastAsia="仿宋_GB2312" w:hAnsi="Times New Roman"/>
                <w:sz w:val="30"/>
                <w:szCs w:val="30"/>
              </w:rPr>
            </w:pPr>
          </w:p>
        </w:tc>
        <w:tc>
          <w:tcPr>
            <w:tcW w:w="1707" w:type="pct"/>
            <w:vMerge/>
            <w:vAlign w:val="center"/>
          </w:tcPr>
          <w:p w:rsidR="000D152C" w:rsidRDefault="000D152C">
            <w:pPr>
              <w:adjustRightInd w:val="0"/>
              <w:snapToGrid w:val="0"/>
              <w:spacing w:after="0" w:line="240" w:lineRule="auto"/>
              <w:jc w:val="center"/>
              <w:rPr>
                <w:rFonts w:ascii="Times New Roman" w:eastAsia="仿宋_GB2312" w:hAnsi="Times New Roman"/>
                <w:sz w:val="30"/>
                <w:szCs w:val="30"/>
              </w:rPr>
            </w:pPr>
          </w:p>
        </w:tc>
        <w:tc>
          <w:tcPr>
            <w:tcW w:w="1109"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hint="eastAsia"/>
                <w:sz w:val="30"/>
                <w:szCs w:val="30"/>
              </w:rPr>
              <w:t>其他</w:t>
            </w:r>
          </w:p>
        </w:tc>
        <w:tc>
          <w:tcPr>
            <w:tcW w:w="1672"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hint="eastAsia"/>
                <w:sz w:val="30"/>
                <w:szCs w:val="30"/>
              </w:rPr>
              <w:t>850</w:t>
            </w:r>
          </w:p>
        </w:tc>
      </w:tr>
      <w:tr w:rsidR="000D152C">
        <w:tc>
          <w:tcPr>
            <w:tcW w:w="512" w:type="pct"/>
            <w:vMerge w:val="restar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sz w:val="30"/>
                <w:szCs w:val="30"/>
              </w:rPr>
              <w:t>5</w:t>
            </w:r>
          </w:p>
        </w:tc>
        <w:tc>
          <w:tcPr>
            <w:tcW w:w="1707" w:type="pct"/>
            <w:vMerge w:val="restar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sz w:val="30"/>
                <w:szCs w:val="30"/>
              </w:rPr>
              <w:t>多肽类抗生素</w:t>
            </w:r>
          </w:p>
        </w:tc>
        <w:tc>
          <w:tcPr>
            <w:tcW w:w="1109"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sz w:val="30"/>
                <w:szCs w:val="30"/>
              </w:rPr>
              <w:t>去甲万古霉素</w:t>
            </w:r>
          </w:p>
        </w:tc>
        <w:tc>
          <w:tcPr>
            <w:tcW w:w="1672"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sz w:val="30"/>
                <w:szCs w:val="30"/>
              </w:rPr>
              <w:t>5000</w:t>
            </w:r>
          </w:p>
        </w:tc>
      </w:tr>
      <w:tr w:rsidR="000D152C">
        <w:tc>
          <w:tcPr>
            <w:tcW w:w="512" w:type="pct"/>
            <w:vMerge/>
            <w:vAlign w:val="center"/>
          </w:tcPr>
          <w:p w:rsidR="000D152C" w:rsidRDefault="000D152C">
            <w:pPr>
              <w:adjustRightInd w:val="0"/>
              <w:snapToGrid w:val="0"/>
              <w:spacing w:after="0" w:line="240" w:lineRule="auto"/>
              <w:jc w:val="center"/>
              <w:rPr>
                <w:rFonts w:ascii="Times New Roman" w:eastAsia="仿宋_GB2312" w:hAnsi="Times New Roman"/>
                <w:sz w:val="30"/>
                <w:szCs w:val="30"/>
              </w:rPr>
            </w:pPr>
          </w:p>
        </w:tc>
        <w:tc>
          <w:tcPr>
            <w:tcW w:w="1707" w:type="pct"/>
            <w:vMerge/>
            <w:vAlign w:val="center"/>
          </w:tcPr>
          <w:p w:rsidR="000D152C" w:rsidRDefault="000D152C">
            <w:pPr>
              <w:adjustRightInd w:val="0"/>
              <w:snapToGrid w:val="0"/>
              <w:spacing w:after="0" w:line="240" w:lineRule="auto"/>
              <w:jc w:val="center"/>
              <w:rPr>
                <w:rFonts w:ascii="Times New Roman" w:eastAsia="仿宋_GB2312" w:hAnsi="Times New Roman"/>
                <w:sz w:val="30"/>
                <w:szCs w:val="30"/>
              </w:rPr>
            </w:pPr>
          </w:p>
        </w:tc>
        <w:tc>
          <w:tcPr>
            <w:tcW w:w="1109"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sz w:val="30"/>
                <w:szCs w:val="30"/>
              </w:rPr>
              <w:t>卷曲霉素</w:t>
            </w:r>
          </w:p>
        </w:tc>
        <w:tc>
          <w:tcPr>
            <w:tcW w:w="1672"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hint="eastAsia"/>
                <w:sz w:val="30"/>
                <w:szCs w:val="30"/>
              </w:rPr>
              <w:t>6500</w:t>
            </w:r>
          </w:p>
        </w:tc>
      </w:tr>
      <w:tr w:rsidR="000D152C">
        <w:tc>
          <w:tcPr>
            <w:tcW w:w="512" w:type="pct"/>
            <w:vMerge/>
            <w:vAlign w:val="center"/>
          </w:tcPr>
          <w:p w:rsidR="000D152C" w:rsidRDefault="000D152C">
            <w:pPr>
              <w:adjustRightInd w:val="0"/>
              <w:snapToGrid w:val="0"/>
              <w:spacing w:after="0" w:line="240" w:lineRule="auto"/>
              <w:jc w:val="center"/>
              <w:rPr>
                <w:rFonts w:ascii="Times New Roman" w:eastAsia="仿宋_GB2312" w:hAnsi="Times New Roman"/>
                <w:sz w:val="30"/>
                <w:szCs w:val="30"/>
              </w:rPr>
            </w:pPr>
          </w:p>
        </w:tc>
        <w:tc>
          <w:tcPr>
            <w:tcW w:w="1707" w:type="pct"/>
            <w:vMerge/>
            <w:vAlign w:val="center"/>
          </w:tcPr>
          <w:p w:rsidR="000D152C" w:rsidRDefault="000D152C">
            <w:pPr>
              <w:adjustRightInd w:val="0"/>
              <w:snapToGrid w:val="0"/>
              <w:spacing w:after="0" w:line="240" w:lineRule="auto"/>
              <w:jc w:val="center"/>
              <w:rPr>
                <w:rFonts w:ascii="Times New Roman" w:eastAsia="仿宋_GB2312" w:hAnsi="Times New Roman"/>
                <w:sz w:val="30"/>
                <w:szCs w:val="30"/>
              </w:rPr>
            </w:pPr>
          </w:p>
        </w:tc>
        <w:tc>
          <w:tcPr>
            <w:tcW w:w="1109"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hint="eastAsia"/>
                <w:sz w:val="30"/>
                <w:szCs w:val="30"/>
              </w:rPr>
              <w:t>其他</w:t>
            </w:r>
          </w:p>
        </w:tc>
        <w:tc>
          <w:tcPr>
            <w:tcW w:w="1672"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hint="eastAsia"/>
                <w:sz w:val="30"/>
                <w:szCs w:val="30"/>
              </w:rPr>
              <w:t>5000</w:t>
            </w:r>
          </w:p>
        </w:tc>
      </w:tr>
      <w:tr w:rsidR="000D152C">
        <w:tc>
          <w:tcPr>
            <w:tcW w:w="512"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sz w:val="30"/>
                <w:szCs w:val="30"/>
              </w:rPr>
              <w:t>6</w:t>
            </w:r>
          </w:p>
        </w:tc>
        <w:tc>
          <w:tcPr>
            <w:tcW w:w="1707"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sz w:val="30"/>
                <w:szCs w:val="30"/>
              </w:rPr>
              <w:t>其他类</w:t>
            </w:r>
          </w:p>
        </w:tc>
        <w:tc>
          <w:tcPr>
            <w:tcW w:w="1109"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sz w:val="30"/>
                <w:szCs w:val="30"/>
              </w:rPr>
              <w:t>洁霉素、阿霉素、利福霉素等</w:t>
            </w:r>
          </w:p>
        </w:tc>
        <w:tc>
          <w:tcPr>
            <w:tcW w:w="1672"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hint="eastAsia"/>
                <w:sz w:val="30"/>
                <w:szCs w:val="30"/>
              </w:rPr>
              <w:t>6000</w:t>
            </w:r>
          </w:p>
        </w:tc>
      </w:tr>
      <w:tr w:rsidR="000D152C">
        <w:tc>
          <w:tcPr>
            <w:tcW w:w="512" w:type="pct"/>
            <w:vMerge w:val="restar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sz w:val="30"/>
                <w:szCs w:val="30"/>
              </w:rPr>
              <w:t>7</w:t>
            </w:r>
          </w:p>
        </w:tc>
        <w:tc>
          <w:tcPr>
            <w:tcW w:w="1707" w:type="pct"/>
            <w:vMerge w:val="restar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sz w:val="30"/>
                <w:szCs w:val="30"/>
              </w:rPr>
              <w:t>维生素类</w:t>
            </w:r>
          </w:p>
        </w:tc>
        <w:tc>
          <w:tcPr>
            <w:tcW w:w="1109"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sz w:val="30"/>
                <w:szCs w:val="30"/>
              </w:rPr>
              <w:t>维生素</w:t>
            </w:r>
            <w:r>
              <w:rPr>
                <w:rFonts w:ascii="Times New Roman" w:eastAsia="仿宋_GB2312" w:hAnsi="Times New Roman"/>
                <w:sz w:val="30"/>
                <w:szCs w:val="30"/>
              </w:rPr>
              <w:t xml:space="preserve"> C</w:t>
            </w:r>
          </w:p>
        </w:tc>
        <w:tc>
          <w:tcPr>
            <w:tcW w:w="1672"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sz w:val="30"/>
                <w:szCs w:val="30"/>
              </w:rPr>
              <w:t>300</w:t>
            </w:r>
          </w:p>
        </w:tc>
      </w:tr>
      <w:tr w:rsidR="000D152C">
        <w:tc>
          <w:tcPr>
            <w:tcW w:w="512" w:type="pct"/>
            <w:vMerge/>
            <w:vAlign w:val="center"/>
          </w:tcPr>
          <w:p w:rsidR="000D152C" w:rsidRDefault="000D152C">
            <w:pPr>
              <w:adjustRightInd w:val="0"/>
              <w:snapToGrid w:val="0"/>
              <w:spacing w:after="0" w:line="240" w:lineRule="auto"/>
              <w:jc w:val="center"/>
              <w:rPr>
                <w:rFonts w:ascii="Times New Roman" w:eastAsia="仿宋_GB2312" w:hAnsi="Times New Roman"/>
                <w:sz w:val="30"/>
                <w:szCs w:val="30"/>
              </w:rPr>
            </w:pPr>
          </w:p>
        </w:tc>
        <w:tc>
          <w:tcPr>
            <w:tcW w:w="1707" w:type="pct"/>
            <w:vMerge/>
            <w:vAlign w:val="center"/>
          </w:tcPr>
          <w:p w:rsidR="000D152C" w:rsidRDefault="000D152C">
            <w:pPr>
              <w:adjustRightInd w:val="0"/>
              <w:snapToGrid w:val="0"/>
              <w:spacing w:after="0" w:line="240" w:lineRule="auto"/>
              <w:jc w:val="center"/>
              <w:rPr>
                <w:rFonts w:ascii="Times New Roman" w:eastAsia="仿宋_GB2312" w:hAnsi="Times New Roman"/>
                <w:sz w:val="30"/>
                <w:szCs w:val="30"/>
              </w:rPr>
            </w:pPr>
          </w:p>
        </w:tc>
        <w:tc>
          <w:tcPr>
            <w:tcW w:w="1109"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sz w:val="30"/>
                <w:szCs w:val="30"/>
              </w:rPr>
              <w:t>维生素</w:t>
            </w:r>
            <w:r>
              <w:rPr>
                <w:rFonts w:ascii="Times New Roman" w:eastAsia="仿宋_GB2312" w:hAnsi="Times New Roman"/>
                <w:sz w:val="30"/>
                <w:szCs w:val="30"/>
              </w:rPr>
              <w:t xml:space="preserve"> B12</w:t>
            </w:r>
          </w:p>
        </w:tc>
        <w:tc>
          <w:tcPr>
            <w:tcW w:w="1672"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sz w:val="30"/>
                <w:szCs w:val="30"/>
              </w:rPr>
              <w:t>115000</w:t>
            </w:r>
          </w:p>
        </w:tc>
      </w:tr>
      <w:tr w:rsidR="000D152C">
        <w:tc>
          <w:tcPr>
            <w:tcW w:w="512" w:type="pct"/>
            <w:vMerge/>
            <w:vAlign w:val="center"/>
          </w:tcPr>
          <w:p w:rsidR="000D152C" w:rsidRDefault="000D152C">
            <w:pPr>
              <w:adjustRightInd w:val="0"/>
              <w:snapToGrid w:val="0"/>
              <w:spacing w:after="0" w:line="240" w:lineRule="auto"/>
              <w:jc w:val="center"/>
              <w:rPr>
                <w:rFonts w:ascii="Times New Roman" w:eastAsia="仿宋_GB2312" w:hAnsi="Times New Roman"/>
                <w:sz w:val="30"/>
                <w:szCs w:val="30"/>
              </w:rPr>
            </w:pPr>
          </w:p>
        </w:tc>
        <w:tc>
          <w:tcPr>
            <w:tcW w:w="1707" w:type="pct"/>
            <w:vMerge/>
            <w:vAlign w:val="center"/>
          </w:tcPr>
          <w:p w:rsidR="000D152C" w:rsidRDefault="000D152C">
            <w:pPr>
              <w:adjustRightInd w:val="0"/>
              <w:snapToGrid w:val="0"/>
              <w:spacing w:after="0" w:line="240" w:lineRule="auto"/>
              <w:jc w:val="center"/>
              <w:rPr>
                <w:rFonts w:ascii="Times New Roman" w:eastAsia="仿宋_GB2312" w:hAnsi="Times New Roman"/>
                <w:sz w:val="30"/>
                <w:szCs w:val="30"/>
              </w:rPr>
            </w:pPr>
          </w:p>
        </w:tc>
        <w:tc>
          <w:tcPr>
            <w:tcW w:w="1109"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hint="eastAsia"/>
                <w:sz w:val="30"/>
                <w:szCs w:val="30"/>
              </w:rPr>
              <w:t>其他</w:t>
            </w:r>
          </w:p>
        </w:tc>
        <w:tc>
          <w:tcPr>
            <w:tcW w:w="1672"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hint="eastAsia"/>
                <w:sz w:val="30"/>
                <w:szCs w:val="30"/>
              </w:rPr>
              <w:t>30000</w:t>
            </w:r>
          </w:p>
        </w:tc>
      </w:tr>
      <w:tr w:rsidR="000D152C">
        <w:tc>
          <w:tcPr>
            <w:tcW w:w="512" w:type="pct"/>
            <w:vMerge w:val="restar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sz w:val="30"/>
                <w:szCs w:val="30"/>
              </w:rPr>
              <w:t>8</w:t>
            </w:r>
          </w:p>
        </w:tc>
        <w:tc>
          <w:tcPr>
            <w:tcW w:w="1707" w:type="pct"/>
            <w:vMerge w:val="restar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sz w:val="30"/>
                <w:szCs w:val="30"/>
              </w:rPr>
              <w:t>氨基酸类</w:t>
            </w:r>
          </w:p>
        </w:tc>
        <w:tc>
          <w:tcPr>
            <w:tcW w:w="1109"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sz w:val="30"/>
                <w:szCs w:val="30"/>
              </w:rPr>
              <w:t>谷氨酸</w:t>
            </w:r>
          </w:p>
        </w:tc>
        <w:tc>
          <w:tcPr>
            <w:tcW w:w="1672"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sz w:val="30"/>
                <w:szCs w:val="30"/>
              </w:rPr>
              <w:t>80</w:t>
            </w:r>
          </w:p>
        </w:tc>
      </w:tr>
      <w:tr w:rsidR="000D152C">
        <w:tc>
          <w:tcPr>
            <w:tcW w:w="512" w:type="pct"/>
            <w:vMerge/>
            <w:vAlign w:val="center"/>
          </w:tcPr>
          <w:p w:rsidR="000D152C" w:rsidRDefault="000D152C">
            <w:pPr>
              <w:adjustRightInd w:val="0"/>
              <w:snapToGrid w:val="0"/>
              <w:spacing w:after="0" w:line="240" w:lineRule="auto"/>
              <w:jc w:val="center"/>
              <w:rPr>
                <w:rFonts w:ascii="Times New Roman" w:eastAsia="仿宋_GB2312" w:hAnsi="Times New Roman"/>
                <w:sz w:val="30"/>
                <w:szCs w:val="30"/>
              </w:rPr>
            </w:pPr>
          </w:p>
        </w:tc>
        <w:tc>
          <w:tcPr>
            <w:tcW w:w="1707" w:type="pct"/>
            <w:vMerge/>
            <w:vAlign w:val="center"/>
          </w:tcPr>
          <w:p w:rsidR="000D152C" w:rsidRDefault="000D152C">
            <w:pPr>
              <w:adjustRightInd w:val="0"/>
              <w:snapToGrid w:val="0"/>
              <w:spacing w:after="0" w:line="240" w:lineRule="auto"/>
              <w:jc w:val="center"/>
              <w:rPr>
                <w:rFonts w:ascii="Times New Roman" w:eastAsia="仿宋_GB2312" w:hAnsi="Times New Roman"/>
                <w:sz w:val="30"/>
                <w:szCs w:val="30"/>
              </w:rPr>
            </w:pPr>
          </w:p>
        </w:tc>
        <w:tc>
          <w:tcPr>
            <w:tcW w:w="1109"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sz w:val="30"/>
                <w:szCs w:val="30"/>
              </w:rPr>
              <w:t>赖氨酸</w:t>
            </w:r>
          </w:p>
        </w:tc>
        <w:tc>
          <w:tcPr>
            <w:tcW w:w="1672"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sz w:val="30"/>
                <w:szCs w:val="30"/>
              </w:rPr>
              <w:t>50</w:t>
            </w:r>
          </w:p>
        </w:tc>
      </w:tr>
      <w:tr w:rsidR="000D152C">
        <w:tc>
          <w:tcPr>
            <w:tcW w:w="512" w:type="pct"/>
            <w:vMerge/>
            <w:vAlign w:val="center"/>
          </w:tcPr>
          <w:p w:rsidR="000D152C" w:rsidRDefault="000D152C">
            <w:pPr>
              <w:adjustRightInd w:val="0"/>
              <w:snapToGrid w:val="0"/>
              <w:spacing w:after="0" w:line="240" w:lineRule="auto"/>
              <w:jc w:val="center"/>
              <w:rPr>
                <w:rFonts w:ascii="Times New Roman" w:eastAsia="仿宋_GB2312" w:hAnsi="Times New Roman"/>
                <w:sz w:val="30"/>
                <w:szCs w:val="30"/>
              </w:rPr>
            </w:pPr>
          </w:p>
        </w:tc>
        <w:tc>
          <w:tcPr>
            <w:tcW w:w="1707" w:type="pct"/>
            <w:vMerge/>
            <w:vAlign w:val="center"/>
          </w:tcPr>
          <w:p w:rsidR="000D152C" w:rsidRDefault="000D152C">
            <w:pPr>
              <w:adjustRightInd w:val="0"/>
              <w:snapToGrid w:val="0"/>
              <w:spacing w:after="0" w:line="240" w:lineRule="auto"/>
              <w:jc w:val="center"/>
              <w:rPr>
                <w:rFonts w:ascii="Times New Roman" w:eastAsia="仿宋_GB2312" w:hAnsi="Times New Roman"/>
                <w:sz w:val="30"/>
                <w:szCs w:val="30"/>
              </w:rPr>
            </w:pPr>
          </w:p>
        </w:tc>
        <w:tc>
          <w:tcPr>
            <w:tcW w:w="1109"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hint="eastAsia"/>
                <w:sz w:val="30"/>
                <w:szCs w:val="30"/>
              </w:rPr>
              <w:t>其他</w:t>
            </w:r>
          </w:p>
        </w:tc>
        <w:tc>
          <w:tcPr>
            <w:tcW w:w="1672"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hint="eastAsia"/>
                <w:sz w:val="30"/>
                <w:szCs w:val="30"/>
              </w:rPr>
              <w:t>200</w:t>
            </w:r>
          </w:p>
        </w:tc>
      </w:tr>
      <w:tr w:rsidR="000D152C">
        <w:tc>
          <w:tcPr>
            <w:tcW w:w="512"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sz w:val="30"/>
                <w:szCs w:val="30"/>
              </w:rPr>
              <w:t>9</w:t>
            </w:r>
          </w:p>
        </w:tc>
        <w:tc>
          <w:tcPr>
            <w:tcW w:w="1707"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sz w:val="30"/>
                <w:szCs w:val="30"/>
              </w:rPr>
              <w:t>其他发酵类</w:t>
            </w:r>
          </w:p>
        </w:tc>
        <w:tc>
          <w:tcPr>
            <w:tcW w:w="1109" w:type="pct"/>
            <w:vAlign w:val="center"/>
          </w:tcPr>
          <w:p w:rsidR="000D152C" w:rsidRDefault="000D152C">
            <w:pPr>
              <w:adjustRightInd w:val="0"/>
              <w:snapToGrid w:val="0"/>
              <w:spacing w:after="0" w:line="240" w:lineRule="auto"/>
              <w:jc w:val="center"/>
              <w:rPr>
                <w:rFonts w:ascii="Times New Roman" w:eastAsia="仿宋_GB2312" w:hAnsi="Times New Roman"/>
                <w:sz w:val="30"/>
                <w:szCs w:val="30"/>
              </w:rPr>
            </w:pPr>
          </w:p>
        </w:tc>
        <w:tc>
          <w:tcPr>
            <w:tcW w:w="1672"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hint="eastAsia"/>
                <w:sz w:val="30"/>
                <w:szCs w:val="30"/>
              </w:rPr>
              <w:t>15</w:t>
            </w:r>
            <w:r>
              <w:rPr>
                <w:rFonts w:ascii="Times New Roman" w:eastAsia="仿宋_GB2312" w:hAnsi="Times New Roman"/>
                <w:sz w:val="30"/>
                <w:szCs w:val="30"/>
              </w:rPr>
              <w:t>00</w:t>
            </w:r>
          </w:p>
        </w:tc>
      </w:tr>
      <w:tr w:rsidR="000D152C">
        <w:tc>
          <w:tcPr>
            <w:tcW w:w="512"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sz w:val="30"/>
                <w:szCs w:val="30"/>
              </w:rPr>
              <w:t>备注</w:t>
            </w:r>
          </w:p>
        </w:tc>
        <w:tc>
          <w:tcPr>
            <w:tcW w:w="4488" w:type="pct"/>
            <w:gridSpan w:val="3"/>
            <w:vAlign w:val="center"/>
          </w:tcPr>
          <w:p w:rsidR="000D152C" w:rsidRDefault="00831701">
            <w:pPr>
              <w:adjustRightInd w:val="0"/>
              <w:snapToGrid w:val="0"/>
              <w:spacing w:after="0" w:line="240" w:lineRule="auto"/>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排水量计量位置与污染物排放监控位置相同，鼓励准入限值为国标基准排水量削减</w:t>
            </w:r>
            <w:r>
              <w:rPr>
                <w:rFonts w:ascii="Times New Roman" w:eastAsia="仿宋_GB2312" w:hAnsi="Times New Roman"/>
                <w:sz w:val="30"/>
                <w:szCs w:val="30"/>
              </w:rPr>
              <w:t xml:space="preserve"> 10%</w:t>
            </w:r>
            <w:r>
              <w:rPr>
                <w:rFonts w:ascii="Times New Roman" w:eastAsia="仿宋_GB2312" w:hAnsi="Times New Roman"/>
                <w:sz w:val="30"/>
                <w:szCs w:val="30"/>
              </w:rPr>
              <w:t>。</w:t>
            </w:r>
          </w:p>
        </w:tc>
      </w:tr>
    </w:tbl>
    <w:p w:rsidR="000D152C" w:rsidRDefault="00831701">
      <w:pPr>
        <w:adjustRightInd w:val="0"/>
        <w:snapToGrid w:val="0"/>
        <w:spacing w:beforeLines="100" w:before="312" w:after="0" w:line="580" w:lineRule="exact"/>
        <w:jc w:val="center"/>
        <w:rPr>
          <w:rFonts w:ascii="Times New Roman" w:eastAsia="仿宋_GB2312" w:hAnsi="Times New Roman"/>
          <w:sz w:val="30"/>
          <w:szCs w:val="30"/>
        </w:rPr>
      </w:pPr>
      <w:r>
        <w:rPr>
          <w:rFonts w:ascii="Times New Roman" w:eastAsia="仿宋_GB2312" w:hAnsi="Times New Roman"/>
          <w:sz w:val="30"/>
          <w:szCs w:val="30"/>
        </w:rPr>
        <w:t>A.</w:t>
      </w:r>
      <w:r>
        <w:rPr>
          <w:rFonts w:ascii="Times New Roman" w:eastAsia="仿宋_GB2312" w:hAnsi="Times New Roman" w:hint="eastAsia"/>
          <w:sz w:val="30"/>
          <w:szCs w:val="30"/>
        </w:rPr>
        <w:t>3</w:t>
      </w:r>
      <w:r>
        <w:rPr>
          <w:rFonts w:ascii="Times New Roman" w:eastAsia="仿宋_GB2312" w:hAnsi="Times New Roman"/>
          <w:sz w:val="30"/>
          <w:szCs w:val="30"/>
        </w:rPr>
        <w:t xml:space="preserve"> </w:t>
      </w:r>
      <w:r>
        <w:rPr>
          <w:rFonts w:ascii="Times New Roman" w:eastAsia="仿宋_GB2312" w:hAnsi="Times New Roman"/>
          <w:sz w:val="30"/>
          <w:szCs w:val="30"/>
        </w:rPr>
        <w:t>生物工程类制药工业单位产品基准排水量准入限值</w:t>
      </w:r>
    </w:p>
    <w:p w:rsidR="000D152C" w:rsidRDefault="00831701">
      <w:pPr>
        <w:adjustRightInd w:val="0"/>
        <w:snapToGrid w:val="0"/>
        <w:spacing w:after="0" w:line="580" w:lineRule="exact"/>
        <w:jc w:val="right"/>
        <w:rPr>
          <w:rFonts w:ascii="Times New Roman" w:eastAsia="仿宋_GB2312" w:hAnsi="Times New Roman"/>
          <w:sz w:val="30"/>
          <w:szCs w:val="30"/>
        </w:rPr>
      </w:pPr>
      <w:r>
        <w:rPr>
          <w:rFonts w:ascii="Times New Roman" w:eastAsia="仿宋_GB2312" w:hAnsi="Times New Roman"/>
          <w:sz w:val="30"/>
          <w:szCs w:val="30"/>
        </w:rPr>
        <w:t>（单位：</w:t>
      </w:r>
      <w:r>
        <w:rPr>
          <w:rFonts w:ascii="Times New Roman" w:eastAsia="仿宋_GB2312" w:hAnsi="Times New Roman"/>
          <w:sz w:val="30"/>
          <w:szCs w:val="30"/>
        </w:rPr>
        <w:t>m</w:t>
      </w:r>
      <w:r>
        <w:rPr>
          <w:rFonts w:ascii="Times New Roman" w:eastAsia="仿宋_GB2312" w:hAnsi="Times New Roman"/>
          <w:sz w:val="30"/>
          <w:szCs w:val="30"/>
          <w:vertAlign w:val="superscript"/>
        </w:rPr>
        <w:t>3</w:t>
      </w:r>
      <w:r>
        <w:rPr>
          <w:rFonts w:ascii="Times New Roman" w:eastAsia="仿宋_GB2312" w:hAnsi="Times New Roman"/>
          <w:sz w:val="30"/>
          <w:szCs w:val="30"/>
        </w:rPr>
        <w:t>/</w:t>
      </w:r>
      <w:r>
        <w:rPr>
          <w:rFonts w:ascii="Times New Roman" w:eastAsia="仿宋_GB2312" w:hAnsi="Times New Roman" w:hint="eastAsia"/>
          <w:sz w:val="30"/>
          <w:szCs w:val="30"/>
        </w:rPr>
        <w:t>kg</w:t>
      </w:r>
      <w:r>
        <w:rPr>
          <w:rFonts w:ascii="Times New Roman" w:eastAsia="仿宋_GB2312" w:hAnsi="Times New Roman"/>
          <w:sz w:val="30"/>
          <w:szCs w:val="30"/>
        </w:rPr>
        <w:t>）</w:t>
      </w:r>
    </w:p>
    <w:tbl>
      <w:tblPr>
        <w:tblStyle w:val="af1"/>
        <w:tblW w:w="4950" w:type="pct"/>
        <w:jc w:val="center"/>
        <w:tblBorders>
          <w:top w:val="single" w:sz="12" w:space="0" w:color="auto"/>
          <w:left w:val="none" w:sz="0" w:space="0" w:color="auto"/>
          <w:bottom w:val="single" w:sz="12" w:space="0" w:color="auto"/>
          <w:right w:val="none" w:sz="0" w:space="0" w:color="auto"/>
          <w:insideH w:val="single" w:sz="6" w:space="0" w:color="auto"/>
          <w:insideV w:val="single" w:sz="6" w:space="0" w:color="auto"/>
        </w:tblBorders>
        <w:tblLook w:val="04A0" w:firstRow="1" w:lastRow="0" w:firstColumn="1" w:lastColumn="0" w:noHBand="0" w:noVBand="1"/>
      </w:tblPr>
      <w:tblGrid>
        <w:gridCol w:w="1081"/>
        <w:gridCol w:w="3608"/>
        <w:gridCol w:w="3534"/>
      </w:tblGrid>
      <w:tr w:rsidR="000D152C">
        <w:trPr>
          <w:trHeight w:val="567"/>
          <w:jc w:val="center"/>
        </w:trPr>
        <w:tc>
          <w:tcPr>
            <w:tcW w:w="657"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b/>
                <w:bCs/>
                <w:sz w:val="30"/>
                <w:szCs w:val="30"/>
              </w:rPr>
              <w:t>序号</w:t>
            </w:r>
          </w:p>
        </w:tc>
        <w:tc>
          <w:tcPr>
            <w:tcW w:w="2194"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b/>
                <w:bCs/>
                <w:sz w:val="30"/>
                <w:szCs w:val="30"/>
              </w:rPr>
              <w:t>药物种类</w:t>
            </w:r>
          </w:p>
        </w:tc>
        <w:tc>
          <w:tcPr>
            <w:tcW w:w="2149"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b/>
                <w:bCs/>
                <w:sz w:val="30"/>
                <w:szCs w:val="30"/>
              </w:rPr>
              <w:t>国标（</w:t>
            </w:r>
            <w:r>
              <w:rPr>
                <w:rFonts w:ascii="Times New Roman" w:eastAsia="仿宋_GB2312" w:hAnsi="Times New Roman"/>
                <w:b/>
                <w:bCs/>
                <w:sz w:val="30"/>
                <w:szCs w:val="30"/>
              </w:rPr>
              <w:t>GB 21904</w:t>
            </w:r>
            <w:r>
              <w:rPr>
                <w:rFonts w:ascii="Times New Roman" w:eastAsia="仿宋_GB2312" w:hAnsi="Times New Roman"/>
                <w:b/>
                <w:bCs/>
                <w:sz w:val="30"/>
                <w:szCs w:val="30"/>
              </w:rPr>
              <w:t>）基准排水量</w:t>
            </w:r>
          </w:p>
        </w:tc>
      </w:tr>
      <w:tr w:rsidR="000D152C">
        <w:trPr>
          <w:trHeight w:val="567"/>
          <w:jc w:val="center"/>
        </w:trPr>
        <w:tc>
          <w:tcPr>
            <w:tcW w:w="657"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sz w:val="30"/>
                <w:szCs w:val="30"/>
              </w:rPr>
              <w:t>1</w:t>
            </w:r>
          </w:p>
        </w:tc>
        <w:tc>
          <w:tcPr>
            <w:tcW w:w="2194"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sz w:val="30"/>
                <w:szCs w:val="30"/>
              </w:rPr>
              <w:t>细胞因子</w:t>
            </w:r>
            <w:r>
              <w:rPr>
                <w:rFonts w:ascii="Times New Roman" w:eastAsia="仿宋_GB2312" w:hAnsi="Times New Roman" w:hint="eastAsia"/>
                <w:sz w:val="30"/>
                <w:szCs w:val="30"/>
                <w:vertAlign w:val="superscript"/>
              </w:rPr>
              <w:t>1</w:t>
            </w:r>
            <w:r>
              <w:rPr>
                <w:rFonts w:ascii="Times New Roman" w:eastAsia="仿宋_GB2312" w:hAnsi="Times New Roman"/>
                <w:sz w:val="30"/>
                <w:szCs w:val="30"/>
              </w:rPr>
              <w:t>、生长因子、人生长激素</w:t>
            </w:r>
          </w:p>
        </w:tc>
        <w:tc>
          <w:tcPr>
            <w:tcW w:w="2149"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hint="eastAsia"/>
                <w:sz w:val="30"/>
                <w:szCs w:val="30"/>
              </w:rPr>
              <w:t>80000</w:t>
            </w:r>
          </w:p>
        </w:tc>
      </w:tr>
      <w:tr w:rsidR="000D152C">
        <w:trPr>
          <w:trHeight w:val="567"/>
          <w:jc w:val="center"/>
        </w:trPr>
        <w:tc>
          <w:tcPr>
            <w:tcW w:w="657"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sz w:val="30"/>
                <w:szCs w:val="30"/>
              </w:rPr>
              <w:t>2</w:t>
            </w:r>
          </w:p>
        </w:tc>
        <w:tc>
          <w:tcPr>
            <w:tcW w:w="2194"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proofErr w:type="gramStart"/>
            <w:r>
              <w:rPr>
                <w:rFonts w:ascii="Times New Roman" w:eastAsia="仿宋_GB2312" w:hAnsi="Times New Roman"/>
                <w:sz w:val="30"/>
                <w:szCs w:val="30"/>
              </w:rPr>
              <w:t>治疗性酶</w:t>
            </w:r>
            <w:proofErr w:type="gramEnd"/>
            <w:r>
              <w:rPr>
                <w:rFonts w:ascii="Times New Roman" w:eastAsia="仿宋_GB2312" w:hAnsi="Times New Roman" w:hint="eastAsia"/>
                <w:sz w:val="30"/>
                <w:szCs w:val="30"/>
                <w:vertAlign w:val="superscript"/>
              </w:rPr>
              <w:t>2</w:t>
            </w:r>
          </w:p>
        </w:tc>
        <w:tc>
          <w:tcPr>
            <w:tcW w:w="2149"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hint="eastAsia"/>
                <w:sz w:val="30"/>
                <w:szCs w:val="30"/>
              </w:rPr>
              <w:t>200</w:t>
            </w:r>
          </w:p>
        </w:tc>
      </w:tr>
      <w:tr w:rsidR="000D152C">
        <w:trPr>
          <w:trHeight w:val="567"/>
          <w:jc w:val="center"/>
        </w:trPr>
        <w:tc>
          <w:tcPr>
            <w:tcW w:w="657"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sz w:val="30"/>
                <w:szCs w:val="30"/>
              </w:rPr>
              <w:t>3</w:t>
            </w:r>
          </w:p>
        </w:tc>
        <w:tc>
          <w:tcPr>
            <w:tcW w:w="2194"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sz w:val="30"/>
                <w:szCs w:val="30"/>
              </w:rPr>
              <w:t>基因工程疫苗</w:t>
            </w:r>
          </w:p>
        </w:tc>
        <w:tc>
          <w:tcPr>
            <w:tcW w:w="2149"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hint="eastAsia"/>
                <w:sz w:val="30"/>
                <w:szCs w:val="30"/>
              </w:rPr>
              <w:t>250</w:t>
            </w:r>
          </w:p>
        </w:tc>
      </w:tr>
      <w:tr w:rsidR="000D152C">
        <w:trPr>
          <w:trHeight w:val="567"/>
          <w:jc w:val="center"/>
        </w:trPr>
        <w:tc>
          <w:tcPr>
            <w:tcW w:w="657"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sz w:val="30"/>
                <w:szCs w:val="30"/>
              </w:rPr>
              <w:t>4</w:t>
            </w:r>
          </w:p>
        </w:tc>
        <w:tc>
          <w:tcPr>
            <w:tcW w:w="2194"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sz w:val="30"/>
                <w:szCs w:val="30"/>
              </w:rPr>
              <w:t>其他类</w:t>
            </w:r>
          </w:p>
        </w:tc>
        <w:tc>
          <w:tcPr>
            <w:tcW w:w="2149"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hint="eastAsia"/>
                <w:sz w:val="30"/>
                <w:szCs w:val="30"/>
              </w:rPr>
              <w:t>80</w:t>
            </w:r>
          </w:p>
        </w:tc>
      </w:tr>
      <w:tr w:rsidR="000D152C">
        <w:trPr>
          <w:trHeight w:val="567"/>
          <w:jc w:val="center"/>
        </w:trPr>
        <w:tc>
          <w:tcPr>
            <w:tcW w:w="657" w:type="pct"/>
            <w:vAlign w:val="center"/>
          </w:tcPr>
          <w:p w:rsidR="000D152C" w:rsidRDefault="00831701">
            <w:pPr>
              <w:adjustRightInd w:val="0"/>
              <w:snapToGrid w:val="0"/>
              <w:spacing w:after="0" w:line="240" w:lineRule="auto"/>
              <w:jc w:val="center"/>
              <w:rPr>
                <w:rFonts w:ascii="Times New Roman" w:eastAsia="仿宋_GB2312" w:hAnsi="Times New Roman"/>
                <w:sz w:val="30"/>
                <w:szCs w:val="30"/>
              </w:rPr>
            </w:pPr>
            <w:r>
              <w:rPr>
                <w:rFonts w:ascii="Times New Roman" w:eastAsia="仿宋_GB2312" w:hAnsi="Times New Roman" w:hint="eastAsia"/>
                <w:sz w:val="30"/>
                <w:szCs w:val="30"/>
              </w:rPr>
              <w:t>备注</w:t>
            </w:r>
          </w:p>
        </w:tc>
        <w:tc>
          <w:tcPr>
            <w:tcW w:w="4343" w:type="pct"/>
            <w:gridSpan w:val="2"/>
            <w:vAlign w:val="center"/>
          </w:tcPr>
          <w:p w:rsidR="000D152C" w:rsidRDefault="00831701">
            <w:pPr>
              <w:adjustRightInd w:val="0"/>
              <w:snapToGrid w:val="0"/>
              <w:spacing w:after="0" w:line="240" w:lineRule="auto"/>
              <w:rPr>
                <w:rFonts w:ascii="Times New Roman" w:eastAsia="仿宋_GB2312" w:hAnsi="Times New Roman"/>
                <w:sz w:val="30"/>
                <w:szCs w:val="30"/>
              </w:rPr>
            </w:pPr>
            <w:r>
              <w:rPr>
                <w:rFonts w:ascii="Times New Roman" w:eastAsia="仿宋_GB2312" w:hAnsi="Times New Roman" w:hint="eastAsia"/>
                <w:sz w:val="30"/>
                <w:szCs w:val="30"/>
              </w:rPr>
              <w:t>1</w:t>
            </w:r>
            <w:r>
              <w:rPr>
                <w:rFonts w:ascii="Times New Roman" w:eastAsia="仿宋_GB2312" w:hAnsi="Times New Roman" w:hint="eastAsia"/>
                <w:sz w:val="30"/>
                <w:szCs w:val="30"/>
              </w:rPr>
              <w:t>）</w:t>
            </w:r>
            <w:r>
              <w:rPr>
                <w:rFonts w:ascii="Times New Roman" w:eastAsia="仿宋_GB2312" w:hAnsi="Times New Roman"/>
                <w:sz w:val="30"/>
                <w:szCs w:val="30"/>
              </w:rPr>
              <w:t>细胞因子主要指干扰素类、白介素类、肿瘤坏死因子及相类似药物。</w:t>
            </w:r>
            <w:r>
              <w:rPr>
                <w:rFonts w:ascii="Times New Roman" w:eastAsia="仿宋_GB2312" w:hAnsi="Times New Roman"/>
                <w:sz w:val="30"/>
                <w:szCs w:val="30"/>
              </w:rPr>
              <w:t xml:space="preserve"> </w:t>
            </w:r>
          </w:p>
          <w:p w:rsidR="000D152C" w:rsidRDefault="00831701">
            <w:pPr>
              <w:adjustRightInd w:val="0"/>
              <w:snapToGrid w:val="0"/>
              <w:spacing w:after="0" w:line="240" w:lineRule="auto"/>
              <w:rPr>
                <w:rFonts w:ascii="Times New Roman" w:eastAsia="仿宋_GB2312" w:hAnsi="Times New Roman"/>
                <w:sz w:val="30"/>
                <w:szCs w:val="30"/>
              </w:rPr>
            </w:pPr>
            <w:r>
              <w:rPr>
                <w:rFonts w:ascii="Times New Roman" w:eastAsia="仿宋_GB2312" w:hAnsi="Times New Roman" w:hint="eastAsia"/>
                <w:sz w:val="30"/>
                <w:szCs w:val="30"/>
              </w:rPr>
              <w:t>2</w:t>
            </w:r>
            <w:r>
              <w:rPr>
                <w:rFonts w:ascii="Times New Roman" w:eastAsia="仿宋_GB2312" w:hAnsi="Times New Roman" w:hint="eastAsia"/>
                <w:sz w:val="30"/>
                <w:szCs w:val="30"/>
              </w:rPr>
              <w:t>）</w:t>
            </w:r>
            <w:r>
              <w:rPr>
                <w:rFonts w:ascii="Times New Roman" w:eastAsia="仿宋_GB2312" w:hAnsi="Times New Roman"/>
                <w:sz w:val="30"/>
                <w:szCs w:val="30"/>
              </w:rPr>
              <w:t>治疗</w:t>
            </w:r>
            <w:proofErr w:type="gramStart"/>
            <w:r>
              <w:rPr>
                <w:rFonts w:ascii="Times New Roman" w:eastAsia="仿宋_GB2312" w:hAnsi="Times New Roman"/>
                <w:sz w:val="30"/>
                <w:szCs w:val="30"/>
              </w:rPr>
              <w:t>性酶主要</w:t>
            </w:r>
            <w:proofErr w:type="gramEnd"/>
            <w:r>
              <w:rPr>
                <w:rFonts w:ascii="Times New Roman" w:eastAsia="仿宋_GB2312" w:hAnsi="Times New Roman"/>
                <w:sz w:val="30"/>
                <w:szCs w:val="30"/>
              </w:rPr>
              <w:t>指重组溶栓剂、重组抗凝剂、重组抗凝血酶、治疗用酶及相类似药物。</w:t>
            </w:r>
          </w:p>
          <w:p w:rsidR="000D152C" w:rsidRDefault="00831701">
            <w:pPr>
              <w:adjustRightInd w:val="0"/>
              <w:snapToGrid w:val="0"/>
              <w:spacing w:after="0" w:line="240" w:lineRule="auto"/>
              <w:rPr>
                <w:rFonts w:ascii="Times New Roman" w:eastAsia="仿宋_GB2312" w:hAnsi="Times New Roman"/>
                <w:sz w:val="30"/>
                <w:szCs w:val="30"/>
              </w:rPr>
            </w:pPr>
            <w:r>
              <w:rPr>
                <w:rFonts w:ascii="Times New Roman" w:eastAsia="仿宋_GB2312" w:hAnsi="Times New Roman" w:hint="eastAsia"/>
                <w:sz w:val="30"/>
                <w:szCs w:val="30"/>
              </w:rPr>
              <w:t>3</w:t>
            </w:r>
            <w:r>
              <w:rPr>
                <w:rFonts w:ascii="Times New Roman" w:eastAsia="仿宋_GB2312" w:hAnsi="Times New Roman" w:hint="eastAsia"/>
                <w:sz w:val="30"/>
                <w:szCs w:val="30"/>
              </w:rPr>
              <w:t>）排水量计量位置与污染物排放监控位置相同，鼓励准入限值为国标基准排水量削减</w:t>
            </w:r>
            <w:r>
              <w:rPr>
                <w:rFonts w:ascii="Times New Roman" w:eastAsia="仿宋_GB2312" w:hAnsi="Times New Roman"/>
                <w:sz w:val="30"/>
                <w:szCs w:val="30"/>
              </w:rPr>
              <w:t xml:space="preserve"> 10%</w:t>
            </w:r>
            <w:r>
              <w:rPr>
                <w:rFonts w:ascii="Times New Roman" w:eastAsia="仿宋_GB2312" w:hAnsi="Times New Roman"/>
                <w:sz w:val="30"/>
                <w:szCs w:val="30"/>
              </w:rPr>
              <w:t>。</w:t>
            </w:r>
          </w:p>
        </w:tc>
      </w:tr>
    </w:tbl>
    <w:p w:rsidR="000D152C" w:rsidRDefault="000D152C">
      <w:pPr>
        <w:adjustRightInd w:val="0"/>
        <w:snapToGrid w:val="0"/>
        <w:spacing w:after="0" w:line="580" w:lineRule="exact"/>
        <w:rPr>
          <w:rFonts w:ascii="Times New Roman" w:eastAsia="仿宋_GB2312" w:hAnsi="Times New Roman"/>
          <w:sz w:val="32"/>
          <w:szCs w:val="32"/>
        </w:rPr>
      </w:pPr>
    </w:p>
    <w:sectPr w:rsidR="000D152C">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44E0" w:rsidRDefault="005544E0">
      <w:pPr>
        <w:spacing w:line="240" w:lineRule="auto"/>
      </w:pPr>
      <w:r>
        <w:separator/>
      </w:r>
    </w:p>
  </w:endnote>
  <w:endnote w:type="continuationSeparator" w:id="0">
    <w:p w:rsidR="005544E0" w:rsidRDefault="005544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0467762"/>
      <w:docPartObj>
        <w:docPartGallery w:val="AutoText"/>
      </w:docPartObj>
    </w:sdtPr>
    <w:sdtEndPr/>
    <w:sdtContent>
      <w:p w:rsidR="000D152C" w:rsidRDefault="00831701">
        <w:pPr>
          <w:pStyle w:val="a7"/>
          <w:jc w:val="center"/>
        </w:pPr>
        <w:r>
          <w:fldChar w:fldCharType="begin"/>
        </w:r>
        <w:r>
          <w:instrText>PAGE   \* MERGEFORMAT</w:instrText>
        </w:r>
        <w:r>
          <w:fldChar w:fldCharType="separate"/>
        </w:r>
        <w:r w:rsidR="001F6253" w:rsidRPr="001F6253">
          <w:rPr>
            <w:noProof/>
            <w:lang w:val="zh-CN"/>
          </w:rPr>
          <w:t>-</w:t>
        </w:r>
        <w:r w:rsidR="001F6253">
          <w:rPr>
            <w:noProof/>
          </w:rPr>
          <w:t xml:space="preserve"> 12 -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44E0" w:rsidRDefault="005544E0">
      <w:pPr>
        <w:spacing w:line="240" w:lineRule="auto"/>
      </w:pPr>
      <w:r>
        <w:separator/>
      </w:r>
    </w:p>
  </w:footnote>
  <w:footnote w:type="continuationSeparator" w:id="0">
    <w:p w:rsidR="005544E0" w:rsidRDefault="005544E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088"/>
    <w:rsid w:val="000234DE"/>
    <w:rsid w:val="00027904"/>
    <w:rsid w:val="000542B4"/>
    <w:rsid w:val="00073434"/>
    <w:rsid w:val="000B1F8D"/>
    <w:rsid w:val="000C058E"/>
    <w:rsid w:val="000D152C"/>
    <w:rsid w:val="000E2F6A"/>
    <w:rsid w:val="000E4ABB"/>
    <w:rsid w:val="000F28F9"/>
    <w:rsid w:val="00157B5D"/>
    <w:rsid w:val="0018249E"/>
    <w:rsid w:val="001A06F4"/>
    <w:rsid w:val="001F3361"/>
    <w:rsid w:val="001F6253"/>
    <w:rsid w:val="0020014A"/>
    <w:rsid w:val="00202B3A"/>
    <w:rsid w:val="0021038C"/>
    <w:rsid w:val="00212281"/>
    <w:rsid w:val="002167E5"/>
    <w:rsid w:val="00240636"/>
    <w:rsid w:val="002C65BE"/>
    <w:rsid w:val="002E7831"/>
    <w:rsid w:val="002F169B"/>
    <w:rsid w:val="0031522E"/>
    <w:rsid w:val="00322679"/>
    <w:rsid w:val="003528F8"/>
    <w:rsid w:val="00384A90"/>
    <w:rsid w:val="00384D4B"/>
    <w:rsid w:val="003C2DCD"/>
    <w:rsid w:val="003E5730"/>
    <w:rsid w:val="004145F7"/>
    <w:rsid w:val="00417669"/>
    <w:rsid w:val="00425A89"/>
    <w:rsid w:val="00457D04"/>
    <w:rsid w:val="004A0413"/>
    <w:rsid w:val="004E2C98"/>
    <w:rsid w:val="004F0862"/>
    <w:rsid w:val="00503935"/>
    <w:rsid w:val="0050573E"/>
    <w:rsid w:val="005215F7"/>
    <w:rsid w:val="00531268"/>
    <w:rsid w:val="005544E0"/>
    <w:rsid w:val="005570EC"/>
    <w:rsid w:val="00557B3B"/>
    <w:rsid w:val="00580738"/>
    <w:rsid w:val="005A0A53"/>
    <w:rsid w:val="005C1082"/>
    <w:rsid w:val="00642C50"/>
    <w:rsid w:val="00697B48"/>
    <w:rsid w:val="006C6C87"/>
    <w:rsid w:val="006D05FB"/>
    <w:rsid w:val="006E02C4"/>
    <w:rsid w:val="006E0E4F"/>
    <w:rsid w:val="00711A23"/>
    <w:rsid w:val="00754E23"/>
    <w:rsid w:val="00762855"/>
    <w:rsid w:val="007C03B0"/>
    <w:rsid w:val="007D2C75"/>
    <w:rsid w:val="00831701"/>
    <w:rsid w:val="00842B37"/>
    <w:rsid w:val="00846769"/>
    <w:rsid w:val="00881265"/>
    <w:rsid w:val="008820E4"/>
    <w:rsid w:val="00894182"/>
    <w:rsid w:val="008B4250"/>
    <w:rsid w:val="008B4AAC"/>
    <w:rsid w:val="008B6570"/>
    <w:rsid w:val="008D2944"/>
    <w:rsid w:val="008D7007"/>
    <w:rsid w:val="008E7FC2"/>
    <w:rsid w:val="008F5F30"/>
    <w:rsid w:val="00911CE6"/>
    <w:rsid w:val="0091387C"/>
    <w:rsid w:val="00925489"/>
    <w:rsid w:val="00925C09"/>
    <w:rsid w:val="009354CE"/>
    <w:rsid w:val="009C347C"/>
    <w:rsid w:val="00A13F84"/>
    <w:rsid w:val="00A1684F"/>
    <w:rsid w:val="00A24396"/>
    <w:rsid w:val="00A56320"/>
    <w:rsid w:val="00A750A3"/>
    <w:rsid w:val="00A75D4D"/>
    <w:rsid w:val="00A76FA9"/>
    <w:rsid w:val="00AA41DF"/>
    <w:rsid w:val="00AA5CC2"/>
    <w:rsid w:val="00AA6173"/>
    <w:rsid w:val="00AB25B8"/>
    <w:rsid w:val="00AC73CA"/>
    <w:rsid w:val="00AC77AF"/>
    <w:rsid w:val="00B03D36"/>
    <w:rsid w:val="00B418A0"/>
    <w:rsid w:val="00B44DE8"/>
    <w:rsid w:val="00B84FB2"/>
    <w:rsid w:val="00B936CD"/>
    <w:rsid w:val="00BB584B"/>
    <w:rsid w:val="00BB6088"/>
    <w:rsid w:val="00C03F61"/>
    <w:rsid w:val="00C24556"/>
    <w:rsid w:val="00C332C8"/>
    <w:rsid w:val="00C51536"/>
    <w:rsid w:val="00C53372"/>
    <w:rsid w:val="00C805AC"/>
    <w:rsid w:val="00CA0E86"/>
    <w:rsid w:val="00CA1208"/>
    <w:rsid w:val="00CA5AED"/>
    <w:rsid w:val="00CB285F"/>
    <w:rsid w:val="00CD6D43"/>
    <w:rsid w:val="00CE2B2E"/>
    <w:rsid w:val="00D03A00"/>
    <w:rsid w:val="00D62C29"/>
    <w:rsid w:val="00D7372E"/>
    <w:rsid w:val="00DA0CF8"/>
    <w:rsid w:val="00E262AE"/>
    <w:rsid w:val="00E35521"/>
    <w:rsid w:val="00E4035F"/>
    <w:rsid w:val="00E725F9"/>
    <w:rsid w:val="00E74C38"/>
    <w:rsid w:val="00E86291"/>
    <w:rsid w:val="00E8769F"/>
    <w:rsid w:val="00E96D1B"/>
    <w:rsid w:val="00EA73C3"/>
    <w:rsid w:val="00EC68EC"/>
    <w:rsid w:val="00EE6085"/>
    <w:rsid w:val="00F15B03"/>
    <w:rsid w:val="00F2513D"/>
    <w:rsid w:val="00F64389"/>
    <w:rsid w:val="00F67475"/>
    <w:rsid w:val="00F73CD0"/>
    <w:rsid w:val="00FA4112"/>
    <w:rsid w:val="00FD3882"/>
    <w:rsid w:val="00FE02A7"/>
    <w:rsid w:val="00FE6EBD"/>
    <w:rsid w:val="00FE7ACC"/>
    <w:rsid w:val="00FF35AB"/>
    <w:rsid w:val="5E8F9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596A45"/>
  <w15:docId w15:val="{F5C82513-955F-4CE4-BA78-63635E3FE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160" w:line="278" w:lineRule="auto"/>
    </w:pPr>
    <w:rPr>
      <w:kern w:val="2"/>
      <w:sz w:val="22"/>
      <w:szCs w:val="24"/>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widowControl/>
      <w:spacing w:after="0" w:line="276" w:lineRule="auto"/>
      <w:jc w:val="center"/>
      <w:textAlignment w:val="center"/>
    </w:pPr>
    <w:rPr>
      <w:rFonts w:ascii="仿宋" w:eastAsia="仿宋" w:hAnsi="仿宋" w:cs="Times New Roman"/>
      <w:kern w:val="0"/>
      <w:sz w:val="28"/>
      <w:szCs w:val="28"/>
      <w14:ligatures w14:val="none"/>
    </w:rPr>
  </w:style>
  <w:style w:type="paragraph" w:styleId="a5">
    <w:name w:val="Balloon Text"/>
    <w:basedOn w:val="a"/>
    <w:link w:val="a6"/>
    <w:uiPriority w:val="99"/>
    <w:semiHidden/>
    <w:unhideWhenUsed/>
    <w:qFormat/>
    <w:pPr>
      <w:spacing w:after="0" w:line="240" w:lineRule="auto"/>
    </w:pPr>
    <w:rPr>
      <w:sz w:val="18"/>
      <w:szCs w:val="18"/>
    </w:rPr>
  </w:style>
  <w:style w:type="paragraph" w:styleId="a7">
    <w:name w:val="footer"/>
    <w:basedOn w:val="a"/>
    <w:link w:val="a8"/>
    <w:uiPriority w:val="99"/>
    <w:unhideWhenUsed/>
    <w:qFormat/>
    <w:pPr>
      <w:tabs>
        <w:tab w:val="center" w:pos="4153"/>
        <w:tab w:val="right" w:pos="8306"/>
      </w:tabs>
      <w:snapToGrid w:val="0"/>
      <w:spacing w:line="240" w:lineRule="auto"/>
    </w:pPr>
    <w:rPr>
      <w:sz w:val="18"/>
      <w:szCs w:val="18"/>
    </w:rPr>
  </w:style>
  <w:style w:type="paragraph" w:styleId="a9">
    <w:name w:val="header"/>
    <w:basedOn w:val="a"/>
    <w:link w:val="aa"/>
    <w:uiPriority w:val="99"/>
    <w:unhideWhenUsed/>
    <w:qFormat/>
    <w:pPr>
      <w:tabs>
        <w:tab w:val="center" w:pos="4153"/>
        <w:tab w:val="right" w:pos="8306"/>
      </w:tabs>
      <w:snapToGrid w:val="0"/>
      <w:spacing w:line="240" w:lineRule="auto"/>
      <w:jc w:val="center"/>
    </w:pPr>
    <w:rPr>
      <w:sz w:val="18"/>
      <w:szCs w:val="18"/>
    </w:rPr>
  </w:style>
  <w:style w:type="paragraph" w:styleId="ab">
    <w:name w:val="Subtitle"/>
    <w:basedOn w:val="a"/>
    <w:next w:val="a"/>
    <w:link w:val="ac"/>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d">
    <w:name w:val="Title"/>
    <w:basedOn w:val="a"/>
    <w:next w:val="a"/>
    <w:link w:val="ae"/>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paragraph" w:styleId="af">
    <w:name w:val="annotation subject"/>
    <w:basedOn w:val="a3"/>
    <w:next w:val="a3"/>
    <w:link w:val="af0"/>
    <w:uiPriority w:val="99"/>
    <w:semiHidden/>
    <w:unhideWhenUsed/>
    <w:qFormat/>
    <w:pPr>
      <w:widowControl w:val="0"/>
      <w:spacing w:after="160" w:line="278" w:lineRule="auto"/>
      <w:jc w:val="left"/>
      <w:textAlignment w:val="auto"/>
    </w:pPr>
    <w:rPr>
      <w:rFonts w:asciiTheme="minorHAnsi" w:eastAsiaTheme="minorEastAsia" w:hAnsiTheme="minorHAnsi" w:cstheme="minorBidi"/>
      <w:b/>
      <w:bCs/>
      <w:kern w:val="2"/>
      <w:sz w:val="22"/>
      <w:szCs w:val="24"/>
      <w14:ligatures w14:val="standardContextual"/>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uiPriority w:val="99"/>
    <w:unhideWhenUsed/>
    <w:qFormat/>
    <w:rPr>
      <w:color w:val="0000FF"/>
      <w:u w:val="single"/>
    </w:rPr>
  </w:style>
  <w:style w:type="character" w:styleId="af3">
    <w:name w:val="annotation reference"/>
    <w:uiPriority w:val="99"/>
    <w:semiHidden/>
    <w:unhideWhenUsed/>
    <w:qFormat/>
    <w:rPr>
      <w:sz w:val="21"/>
      <w:szCs w:val="21"/>
    </w:rPr>
  </w:style>
  <w:style w:type="character" w:customStyle="1" w:styleId="10">
    <w:name w:val="标题 1 字符"/>
    <w:basedOn w:val="a0"/>
    <w:link w:val="1"/>
    <w:uiPriority w:val="9"/>
    <w:qFormat/>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qFormat/>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qFormat/>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qFormat/>
    <w:rPr>
      <w:rFonts w:cstheme="majorBidi"/>
      <w:color w:val="2F5496" w:themeColor="accent1" w:themeShade="BF"/>
      <w:sz w:val="28"/>
      <w:szCs w:val="28"/>
    </w:rPr>
  </w:style>
  <w:style w:type="character" w:customStyle="1" w:styleId="50">
    <w:name w:val="标题 5 字符"/>
    <w:basedOn w:val="a0"/>
    <w:link w:val="5"/>
    <w:uiPriority w:val="9"/>
    <w:semiHidden/>
    <w:qFormat/>
    <w:rPr>
      <w:rFonts w:cstheme="majorBidi"/>
      <w:color w:val="2F5496" w:themeColor="accent1" w:themeShade="BF"/>
      <w:sz w:val="24"/>
    </w:rPr>
  </w:style>
  <w:style w:type="character" w:customStyle="1" w:styleId="60">
    <w:name w:val="标题 6 字符"/>
    <w:basedOn w:val="a0"/>
    <w:link w:val="6"/>
    <w:uiPriority w:val="9"/>
    <w:semiHidden/>
    <w:qFormat/>
    <w:rPr>
      <w:rFonts w:cstheme="majorBidi"/>
      <w:b/>
      <w:bCs/>
      <w:color w:val="2F5496"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e">
    <w:name w:val="标题 字符"/>
    <w:basedOn w:val="a0"/>
    <w:link w:val="ad"/>
    <w:uiPriority w:val="10"/>
    <w:qFormat/>
    <w:rPr>
      <w:rFonts w:asciiTheme="majorHAnsi" w:eastAsiaTheme="majorEastAsia" w:hAnsiTheme="majorHAnsi" w:cstheme="majorBidi"/>
      <w:spacing w:val="-10"/>
      <w:kern w:val="28"/>
      <w:sz w:val="56"/>
      <w:szCs w:val="56"/>
    </w:rPr>
  </w:style>
  <w:style w:type="character" w:customStyle="1" w:styleId="ac">
    <w:name w:val="副标题 字符"/>
    <w:basedOn w:val="a0"/>
    <w:link w:val="ab"/>
    <w:uiPriority w:val="11"/>
    <w:qFormat/>
    <w:rPr>
      <w:rFonts w:asciiTheme="majorHAnsi" w:eastAsiaTheme="majorEastAsia" w:hAnsiTheme="majorHAnsi" w:cstheme="majorBidi"/>
      <w:color w:val="595959" w:themeColor="text1" w:themeTint="A6"/>
      <w:spacing w:val="15"/>
      <w:sz w:val="28"/>
      <w:szCs w:val="28"/>
    </w:rPr>
  </w:style>
  <w:style w:type="paragraph" w:styleId="af4">
    <w:name w:val="Quote"/>
    <w:basedOn w:val="a"/>
    <w:next w:val="a"/>
    <w:link w:val="af5"/>
    <w:uiPriority w:val="29"/>
    <w:qFormat/>
    <w:pPr>
      <w:spacing w:before="160"/>
      <w:jc w:val="center"/>
    </w:pPr>
    <w:rPr>
      <w:i/>
      <w:iCs/>
      <w:color w:val="404040" w:themeColor="text1" w:themeTint="BF"/>
    </w:rPr>
  </w:style>
  <w:style w:type="character" w:customStyle="1" w:styleId="af5">
    <w:name w:val="引用 字符"/>
    <w:basedOn w:val="a0"/>
    <w:link w:val="af4"/>
    <w:uiPriority w:val="29"/>
    <w:qFormat/>
    <w:rPr>
      <w:i/>
      <w:iCs/>
      <w:color w:val="404040" w:themeColor="text1" w:themeTint="BF"/>
    </w:rPr>
  </w:style>
  <w:style w:type="paragraph" w:styleId="af6">
    <w:name w:val="List Paragraph"/>
    <w:basedOn w:val="a"/>
    <w:uiPriority w:val="34"/>
    <w:qFormat/>
    <w:pPr>
      <w:ind w:left="720"/>
      <w:contextualSpacing/>
    </w:pPr>
  </w:style>
  <w:style w:type="character" w:customStyle="1" w:styleId="11">
    <w:name w:val="明显强调1"/>
    <w:basedOn w:val="a0"/>
    <w:uiPriority w:val="21"/>
    <w:qFormat/>
    <w:rPr>
      <w:i/>
      <w:iCs/>
      <w:color w:val="2F5496" w:themeColor="accent1" w:themeShade="BF"/>
    </w:rPr>
  </w:style>
  <w:style w:type="paragraph" w:styleId="af7">
    <w:name w:val="Intense Quote"/>
    <w:basedOn w:val="a"/>
    <w:next w:val="a"/>
    <w:link w:val="af8"/>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8">
    <w:name w:val="明显引用 字符"/>
    <w:basedOn w:val="a0"/>
    <w:link w:val="af7"/>
    <w:uiPriority w:val="30"/>
    <w:qFormat/>
    <w:rPr>
      <w:i/>
      <w:iCs/>
      <w:color w:val="2F5496" w:themeColor="accent1" w:themeShade="BF"/>
    </w:rPr>
  </w:style>
  <w:style w:type="character" w:customStyle="1" w:styleId="12">
    <w:name w:val="明显参考1"/>
    <w:basedOn w:val="a0"/>
    <w:uiPriority w:val="32"/>
    <w:qFormat/>
    <w:rPr>
      <w:b/>
      <w:bCs/>
      <w:smallCaps/>
      <w:color w:val="2F5496" w:themeColor="accent1" w:themeShade="BF"/>
      <w:spacing w:val="5"/>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customStyle="1" w:styleId="p">
    <w:name w:val="p"/>
    <w:basedOn w:val="a"/>
    <w:qFormat/>
    <w:pPr>
      <w:widowControl/>
      <w:spacing w:after="0" w:line="276" w:lineRule="auto"/>
      <w:ind w:firstLine="433"/>
      <w:textAlignment w:val="center"/>
    </w:pPr>
    <w:rPr>
      <w:rFonts w:ascii="黑体" w:eastAsia="黑体" w:hAnsi="黑体" w:cs="Times New Roman"/>
      <w:kern w:val="0"/>
      <w:sz w:val="21"/>
      <w:szCs w:val="21"/>
      <w14:ligatures w14:val="none"/>
    </w:rPr>
  </w:style>
  <w:style w:type="character" w:customStyle="1" w:styleId="a4">
    <w:name w:val="批注文字 字符"/>
    <w:basedOn w:val="a0"/>
    <w:link w:val="a3"/>
    <w:uiPriority w:val="99"/>
    <w:qFormat/>
    <w:rPr>
      <w:rFonts w:ascii="仿宋" w:eastAsia="仿宋" w:hAnsi="仿宋" w:cs="Times New Roman"/>
      <w:kern w:val="0"/>
      <w:sz w:val="28"/>
      <w:szCs w:val="28"/>
      <w14:ligatures w14:val="none"/>
    </w:rPr>
  </w:style>
  <w:style w:type="character" w:customStyle="1" w:styleId="af0">
    <w:name w:val="批注主题 字符"/>
    <w:basedOn w:val="a4"/>
    <w:link w:val="af"/>
    <w:uiPriority w:val="99"/>
    <w:semiHidden/>
    <w:qFormat/>
    <w:rPr>
      <w:rFonts w:ascii="仿宋" w:eastAsia="仿宋" w:hAnsi="仿宋" w:cs="Times New Roman"/>
      <w:b/>
      <w:bCs/>
      <w:kern w:val="0"/>
      <w:sz w:val="28"/>
      <w:szCs w:val="28"/>
      <w14:ligatures w14:val="none"/>
    </w:rPr>
  </w:style>
  <w:style w:type="character" w:customStyle="1" w:styleId="a6">
    <w:name w:val="批注框文本 字符"/>
    <w:basedOn w:val="a0"/>
    <w:link w:val="a5"/>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mee.gov.cn/ywgz/fgbz/bz/bzwb/shjbh/swrwpfbz/200807/W020111121365070870877.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859</Words>
  <Characters>4898</Characters>
  <Application>Microsoft Office Word</Application>
  <DocSecurity>0</DocSecurity>
  <Lines>40</Lines>
  <Paragraphs>11</Paragraphs>
  <ScaleCrop>false</ScaleCrop>
  <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浩 陈</dc:creator>
  <cp:lastModifiedBy>未定义</cp:lastModifiedBy>
  <cp:revision>10</cp:revision>
  <dcterms:created xsi:type="dcterms:W3CDTF">2026-04-09T14:52:00Z</dcterms:created>
  <dcterms:modified xsi:type="dcterms:W3CDTF">2026-05-21T02:50:00Z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